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C3C6C">
      <w:pPr>
        <w:pStyle w:val="14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ascii="黑体" w:hAnsi="黑体" w:eastAsia="黑体"/>
          <w:b/>
          <w:bCs/>
          <w:sz w:val="36"/>
          <w:szCs w:val="36"/>
        </w:rPr>
        <w:t>金融学院（浙商资产管理学院）</w:t>
      </w:r>
    </w:p>
    <w:p w14:paraId="612B0103">
      <w:pPr>
        <w:pStyle w:val="14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ascii="黑体" w:hAnsi="黑体" w:eastAsia="黑体"/>
          <w:b/>
          <w:bCs/>
          <w:sz w:val="36"/>
          <w:szCs w:val="36"/>
        </w:rPr>
        <w:t>关于“</w:t>
      </w:r>
      <w:r>
        <w:rPr>
          <w:rFonts w:hint="eastAsia" w:ascii="黑体" w:hAnsi="黑体" w:eastAsia="黑体"/>
          <w:b/>
          <w:bCs/>
          <w:sz w:val="36"/>
          <w:szCs w:val="36"/>
        </w:rPr>
        <w:t>未来金融分析师”</w:t>
      </w:r>
      <w:r>
        <w:rPr>
          <w:rFonts w:ascii="黑体" w:hAnsi="黑体" w:eastAsia="黑体"/>
          <w:b/>
          <w:bCs/>
          <w:sz w:val="36"/>
          <w:szCs w:val="36"/>
        </w:rPr>
        <w:t>奖学金申报通知</w:t>
      </w:r>
    </w:p>
    <w:p w14:paraId="5D898947"/>
    <w:p w14:paraId="4D87AB1F">
      <w:pPr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sz w:val="28"/>
          <w:szCs w:val="28"/>
        </w:rPr>
        <w:t>为鼓励金融学实验班（CFA）品学兼优学生，不断提升学生的金融职业素养和综合能力素质，实现全面发展，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依据学院《金融学实验班（CFA）奖学金评审办法（试行）》，现启动我院2024年</w:t>
      </w:r>
      <w:r>
        <w:rPr>
          <w:rFonts w:hint="eastAsia" w:ascii="仿宋_GB2312" w:hAnsi="Times New Roman" w:eastAsia="仿宋_GB2312" w:cs="Times New Roman"/>
          <w:sz w:val="28"/>
          <w:szCs w:val="28"/>
        </w:rPr>
        <w:t>“未来金融分析师”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相关评选工作。具体通知如下：</w:t>
      </w:r>
    </w:p>
    <w:p w14:paraId="768A2FE9">
      <w:pPr>
        <w:pStyle w:val="31"/>
        <w:numPr>
          <w:ilvl w:val="0"/>
          <w:numId w:val="1"/>
        </w:numPr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奖学金类型</w:t>
      </w:r>
      <w:r>
        <w:rPr>
          <w:rFonts w:hint="eastAsia" w:ascii="Times New Roman" w:hAnsi="Times New Roman" w:eastAsia="仿宋_GB2312" w:cs="Times New Roman"/>
          <w:b/>
          <w:bCs/>
          <w:sz w:val="30"/>
          <w:szCs w:val="30"/>
        </w:rPr>
        <w:t>及金额设置</w:t>
      </w:r>
    </w:p>
    <w:p w14:paraId="63864A9E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 xml:space="preserve">“未来金融分析师”奖学金 </w:t>
      </w:r>
      <w:r>
        <w:rPr>
          <w:rFonts w:ascii="Times New Roman" w:hAnsi="Times New Roman" w:eastAsia="仿宋_GB2312" w:cs="Times New Roman"/>
          <w:sz w:val="28"/>
          <w:szCs w:val="28"/>
        </w:rPr>
        <w:t>，分特等奖、一等奖、二等奖、三等奖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和鼓励奖五</w:t>
      </w:r>
      <w:r>
        <w:rPr>
          <w:rFonts w:ascii="Times New Roman" w:hAnsi="Times New Roman" w:eastAsia="仿宋_GB2312" w:cs="Times New Roman"/>
          <w:sz w:val="28"/>
          <w:szCs w:val="28"/>
        </w:rPr>
        <w:t>项。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每位学生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只可申请上述一项奖学金。</w:t>
      </w:r>
    </w:p>
    <w:p w14:paraId="5B759F2C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  <w14:ligatures w14:val="standardContextual"/>
        </w:rPr>
      </w:pPr>
      <w:r>
        <w:rPr>
          <w:rFonts w:hint="eastAsia" w:ascii="仿宋_GB2312" w:hAnsi="Times New Roman" w:eastAsia="仿宋_GB2312" w:cs="Times New Roman"/>
          <w:sz w:val="28"/>
          <w:szCs w:val="28"/>
          <w14:ligatures w14:val="standardContextual"/>
        </w:rPr>
        <w:t>“未来金融分析师”奖学金</w:t>
      </w:r>
      <w:r>
        <w:rPr>
          <w:rFonts w:ascii="Times New Roman" w:hAnsi="Times New Roman" w:eastAsia="仿宋_GB2312" w:cs="Times New Roman"/>
          <w:sz w:val="28"/>
          <w:szCs w:val="28"/>
          <w14:ligatures w14:val="standardContextual"/>
        </w:rPr>
        <w:t>金额设定如下：</w:t>
      </w:r>
    </w:p>
    <w:p w14:paraId="4A68477B">
      <w:pPr>
        <w:ind w:firstLine="480"/>
        <w:jc w:val="center"/>
        <w:rPr>
          <w:rFonts w:ascii="Times New Roman" w:hAnsi="Times New Roman" w:eastAsia="仿宋_GB2312" w:cs="Times New Roman"/>
          <w:b/>
          <w:bCs/>
          <w:sz w:val="28"/>
          <w:szCs w:val="28"/>
          <w14:ligatures w14:val="standardContextual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  <w14:ligatures w14:val="standardContextual"/>
        </w:rPr>
        <w:t xml:space="preserve">表1 </w:t>
      </w:r>
      <w:r>
        <w:rPr>
          <w:rFonts w:ascii="仿宋_GB2312" w:hAnsi="Times New Roman" w:eastAsia="仿宋_GB2312" w:cs="Times New Roman"/>
          <w:b/>
          <w:bCs/>
          <w:sz w:val="28"/>
          <w:szCs w:val="28"/>
          <w14:ligatures w14:val="standardContextual"/>
        </w:rPr>
        <w:t>“未来金融分析师”</w:t>
      </w:r>
      <w:r>
        <w:rPr>
          <w:rFonts w:ascii="Times New Roman" w:hAnsi="Times New Roman" w:eastAsia="仿宋_GB2312" w:cs="Times New Roman"/>
          <w:b/>
          <w:bCs/>
          <w:sz w:val="28"/>
          <w:szCs w:val="28"/>
          <w14:ligatures w14:val="standardContextual"/>
        </w:rPr>
        <w:t>奖学金金额设置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 w14:paraId="569E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1D8B1420">
            <w:pP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特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等奖</w:t>
            </w:r>
          </w:p>
        </w:tc>
        <w:tc>
          <w:tcPr>
            <w:tcW w:w="4148" w:type="dxa"/>
          </w:tcPr>
          <w:p w14:paraId="7B8FCC50">
            <w:pP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4000元/人</w:t>
            </w:r>
          </w:p>
        </w:tc>
      </w:tr>
      <w:tr w14:paraId="16E32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49D75632">
            <w:pP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一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等奖</w:t>
            </w:r>
          </w:p>
        </w:tc>
        <w:tc>
          <w:tcPr>
            <w:tcW w:w="4148" w:type="dxa"/>
          </w:tcPr>
          <w:p w14:paraId="6512A224">
            <w:pP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3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000元/人</w:t>
            </w:r>
          </w:p>
        </w:tc>
      </w:tr>
      <w:tr w14:paraId="55FFF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0AF9CEEB">
            <w:pP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二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等奖</w:t>
            </w:r>
          </w:p>
        </w:tc>
        <w:tc>
          <w:tcPr>
            <w:tcW w:w="4148" w:type="dxa"/>
          </w:tcPr>
          <w:p w14:paraId="2C83C3EC">
            <w:pP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2000元/人</w:t>
            </w:r>
          </w:p>
        </w:tc>
      </w:tr>
      <w:tr w14:paraId="69DE8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56D521C5">
            <w:pP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三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等奖</w:t>
            </w:r>
          </w:p>
        </w:tc>
        <w:tc>
          <w:tcPr>
            <w:tcW w:w="4148" w:type="dxa"/>
          </w:tcPr>
          <w:p w14:paraId="497D6027">
            <w:pP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1000元/人</w:t>
            </w:r>
          </w:p>
        </w:tc>
      </w:tr>
      <w:tr w14:paraId="5C44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8" w:type="dxa"/>
          </w:tcPr>
          <w:p w14:paraId="19D39111">
            <w:pP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鼓励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奖</w:t>
            </w:r>
          </w:p>
        </w:tc>
        <w:tc>
          <w:tcPr>
            <w:tcW w:w="4148" w:type="dxa"/>
          </w:tcPr>
          <w:p w14:paraId="6470F3C5">
            <w:pP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14:ligatures w14:val="standardContextual"/>
              </w:rPr>
              <w:t>500元/人</w:t>
            </w:r>
          </w:p>
        </w:tc>
      </w:tr>
    </w:tbl>
    <w:p w14:paraId="1955424D">
      <w:pPr>
        <w:pStyle w:val="31"/>
        <w:numPr>
          <w:ilvl w:val="0"/>
          <w:numId w:val="1"/>
        </w:numPr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bCs/>
          <w:sz w:val="30"/>
          <w:szCs w:val="30"/>
        </w:rPr>
        <w:t>申报对象和条件</w:t>
      </w:r>
    </w:p>
    <w:p w14:paraId="0A8B5DAB">
      <w:pPr>
        <w:pStyle w:val="31"/>
        <w:numPr>
          <w:ilvl w:val="0"/>
          <w:numId w:val="2"/>
        </w:numPr>
        <w:spacing w:line="420" w:lineRule="atLeast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申报对象</w:t>
      </w:r>
    </w:p>
    <w:p w14:paraId="1FEAE2A6">
      <w:pPr>
        <w:spacing w:line="420" w:lineRule="atLeast"/>
        <w:ind w:firstLine="57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根据2024年评审的实际情况，我院2024年</w:t>
      </w:r>
      <w:r>
        <w:rPr>
          <w:rFonts w:hint="eastAsia" w:ascii="仿宋_GB2312" w:hAnsi="Times New Roman" w:eastAsia="仿宋_GB2312" w:cs="Times New Roman"/>
          <w:sz w:val="28"/>
          <w:szCs w:val="28"/>
        </w:rPr>
        <w:t>“未来金融分析师”奖学金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申请对象为录取类别为非定向或自筹且人事档案在校、全脱产学习的金融学实验班（CFA）本科生。</w:t>
      </w:r>
    </w:p>
    <w:p w14:paraId="735EB696">
      <w:pPr>
        <w:pStyle w:val="31"/>
        <w:numPr>
          <w:ilvl w:val="0"/>
          <w:numId w:val="2"/>
        </w:numPr>
        <w:spacing w:line="420" w:lineRule="atLeast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申报条件</w:t>
      </w:r>
    </w:p>
    <w:p w14:paraId="7D719F32">
      <w:pPr>
        <w:spacing w:line="420" w:lineRule="atLeast"/>
        <w:ind w:firstLine="57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申报基本条件为：</w:t>
      </w:r>
      <w:r>
        <w:rPr>
          <w:rFonts w:ascii="Times New Roman" w:hAnsi="Times New Roman" w:eastAsia="仿宋_GB2312" w:cs="Times New Roman"/>
          <w:sz w:val="28"/>
          <w:szCs w:val="28"/>
        </w:rPr>
        <w:t>热爱祖国，拥护中国共产党的领导、遵守国家法律、法规及学校规章制度，勤奋好学，开拓创新，尊敬师长，团结同学，关心集体，有良好的社会责任感，积极参加志愿服务、公益活动及其他社会实践活动。</w:t>
      </w:r>
    </w:p>
    <w:p w14:paraId="214119A8">
      <w:pPr>
        <w:spacing w:line="324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申报“未来金融分析师”奖学金，还应满足以下评选条件：</w:t>
      </w:r>
    </w:p>
    <w:p w14:paraId="5981FFB2">
      <w:pPr>
        <w:spacing w:line="324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1.特等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奖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，1名，应满足以下条件：</w:t>
      </w:r>
    </w:p>
    <w:p w14:paraId="6B3B3C4F">
      <w:pPr>
        <w:spacing w:line="324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已修完CFA方向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14门</w:t>
      </w:r>
      <w:r>
        <w:rPr>
          <w:rFonts w:ascii="Times New Roman" w:hAnsi="Times New Roman" w:eastAsia="仿宋_GB2312" w:cs="Times New Roman"/>
          <w:sz w:val="28"/>
          <w:szCs w:val="28"/>
        </w:rPr>
        <w:t>课程（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详</w:t>
      </w:r>
      <w:r>
        <w:rPr>
          <w:rFonts w:ascii="Times New Roman" w:hAnsi="Times New Roman" w:eastAsia="仿宋_GB2312" w:cs="Times New Roman"/>
          <w:sz w:val="28"/>
          <w:szCs w:val="28"/>
        </w:rPr>
        <w:t>见附件），课程平均分（以首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考</w:t>
      </w:r>
      <w:r>
        <w:rPr>
          <w:rFonts w:ascii="Times New Roman" w:hAnsi="Times New Roman" w:eastAsia="仿宋_GB2312" w:cs="Times New Roman"/>
          <w:sz w:val="28"/>
          <w:szCs w:val="28"/>
        </w:rPr>
        <w:t>成绩计算）位于年级前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5</w:t>
      </w:r>
      <w:r>
        <w:rPr>
          <w:rFonts w:ascii="Times New Roman" w:hAnsi="Times New Roman" w:eastAsia="仿宋_GB2312" w:cs="Times New Roman"/>
          <w:sz w:val="28"/>
          <w:szCs w:val="28"/>
        </w:rPr>
        <w:t>位，且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通过</w:t>
      </w:r>
      <w:r>
        <w:rPr>
          <w:rFonts w:ascii="Times New Roman" w:hAnsi="Times New Roman" w:eastAsia="仿宋_GB2312" w:cs="Times New Roman"/>
          <w:sz w:val="28"/>
          <w:szCs w:val="28"/>
        </w:rPr>
        <w:t>CFA二级考试。</w:t>
      </w:r>
    </w:p>
    <w:p w14:paraId="5A858B13">
      <w:pPr>
        <w:spacing w:line="324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2.一等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奖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，5名，应满足以下条件之一：</w:t>
      </w:r>
    </w:p>
    <w:p w14:paraId="23EA55E3">
      <w:pPr>
        <w:spacing w:line="324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（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</w:t>
      </w:r>
      <w:r>
        <w:rPr>
          <w:rFonts w:ascii="Times New Roman" w:hAnsi="Times New Roman" w:eastAsia="仿宋_GB2312" w:cs="Times New Roman"/>
          <w:sz w:val="28"/>
          <w:szCs w:val="28"/>
        </w:rPr>
        <w:t>）已修完CFA方向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14门</w:t>
      </w:r>
      <w:r>
        <w:rPr>
          <w:rFonts w:ascii="Times New Roman" w:hAnsi="Times New Roman" w:eastAsia="仿宋_GB2312" w:cs="Times New Roman"/>
          <w:sz w:val="28"/>
          <w:szCs w:val="28"/>
        </w:rPr>
        <w:t>课程，首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考</w:t>
      </w:r>
      <w:r>
        <w:rPr>
          <w:rFonts w:ascii="Times New Roman" w:hAnsi="Times New Roman" w:eastAsia="仿宋_GB2312" w:cs="Times New Roman"/>
          <w:sz w:val="28"/>
          <w:szCs w:val="28"/>
        </w:rPr>
        <w:t>成绩无不及格，且通过CFA二级考试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；</w:t>
      </w:r>
    </w:p>
    <w:p w14:paraId="6FEDAB85">
      <w:pPr>
        <w:spacing w:line="324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（2）</w:t>
      </w:r>
      <w:r>
        <w:rPr>
          <w:rFonts w:ascii="Times New Roman" w:hAnsi="Times New Roman" w:eastAsia="仿宋_GB2312" w:cs="Times New Roman"/>
          <w:sz w:val="28"/>
          <w:szCs w:val="28"/>
        </w:rPr>
        <w:t>已修完CFA方向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14门</w:t>
      </w:r>
      <w:r>
        <w:rPr>
          <w:rFonts w:ascii="Times New Roman" w:hAnsi="Times New Roman" w:eastAsia="仿宋_GB2312" w:cs="Times New Roman"/>
          <w:sz w:val="28"/>
          <w:szCs w:val="28"/>
        </w:rPr>
        <w:t>课程，且课程平均分（以首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考</w:t>
      </w:r>
      <w:r>
        <w:rPr>
          <w:rFonts w:ascii="Times New Roman" w:hAnsi="Times New Roman" w:eastAsia="仿宋_GB2312" w:cs="Times New Roman"/>
          <w:sz w:val="28"/>
          <w:szCs w:val="28"/>
        </w:rPr>
        <w:t>成绩计算）位于年级前1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0</w:t>
      </w:r>
      <w:r>
        <w:rPr>
          <w:rFonts w:ascii="Times New Roman" w:hAnsi="Times New Roman" w:eastAsia="仿宋_GB2312" w:cs="Times New Roman"/>
          <w:sz w:val="28"/>
          <w:szCs w:val="28"/>
        </w:rPr>
        <w:t>位，且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以9A及以上成绩通过</w:t>
      </w:r>
      <w:r>
        <w:rPr>
          <w:rFonts w:ascii="Times New Roman" w:hAnsi="Times New Roman" w:eastAsia="仿宋_GB2312" w:cs="Times New Roman"/>
          <w:sz w:val="28"/>
          <w:szCs w:val="28"/>
        </w:rPr>
        <w:t>CFA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一</w:t>
      </w:r>
      <w:r>
        <w:rPr>
          <w:rFonts w:ascii="Times New Roman" w:hAnsi="Times New Roman" w:eastAsia="仿宋_GB2312" w:cs="Times New Roman"/>
          <w:sz w:val="28"/>
          <w:szCs w:val="28"/>
        </w:rPr>
        <w:t>级考试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</w:p>
    <w:p w14:paraId="0BDA0727">
      <w:pPr>
        <w:spacing w:line="324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3.二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等奖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，10名，应满足以下条件之一：</w:t>
      </w:r>
    </w:p>
    <w:p w14:paraId="46512421">
      <w:pPr>
        <w:spacing w:line="324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（1）</w:t>
      </w:r>
      <w:r>
        <w:rPr>
          <w:rFonts w:ascii="Times New Roman" w:hAnsi="Times New Roman" w:eastAsia="仿宋_GB2312" w:cs="Times New Roman"/>
          <w:sz w:val="28"/>
          <w:szCs w:val="28"/>
        </w:rPr>
        <w:t>已修完CFA方向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14门</w:t>
      </w:r>
      <w:r>
        <w:rPr>
          <w:rFonts w:ascii="Times New Roman" w:hAnsi="Times New Roman" w:eastAsia="仿宋_GB2312" w:cs="Times New Roman"/>
          <w:sz w:val="28"/>
          <w:szCs w:val="28"/>
        </w:rPr>
        <w:t>课程，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课程平均分（首考成绩计算）位于年级前10位，且通过CFA一级；</w:t>
      </w:r>
    </w:p>
    <w:p w14:paraId="10D499BF">
      <w:pPr>
        <w:spacing w:line="324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（2）</w:t>
      </w:r>
      <w:r>
        <w:rPr>
          <w:rFonts w:ascii="Times New Roman" w:hAnsi="Times New Roman" w:eastAsia="仿宋_GB2312" w:cs="Times New Roman"/>
          <w:sz w:val="28"/>
          <w:szCs w:val="28"/>
        </w:rPr>
        <w:t>已修完CFA方向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14门</w:t>
      </w:r>
      <w:r>
        <w:rPr>
          <w:rFonts w:ascii="Times New Roman" w:hAnsi="Times New Roman" w:eastAsia="仿宋_GB2312" w:cs="Times New Roman"/>
          <w:sz w:val="28"/>
          <w:szCs w:val="28"/>
        </w:rPr>
        <w:t>课程，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首考成绩无不及格</w:t>
      </w:r>
      <w:r>
        <w:rPr>
          <w:rFonts w:ascii="Times New Roman" w:hAnsi="Times New Roman" w:eastAsia="仿宋_GB2312" w:cs="Times New Roman"/>
          <w:sz w:val="28"/>
          <w:szCs w:val="28"/>
        </w:rPr>
        <w:t>，且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以9A及以上成绩</w:t>
      </w:r>
      <w:r>
        <w:rPr>
          <w:rFonts w:ascii="Times New Roman" w:hAnsi="Times New Roman" w:eastAsia="仿宋_GB2312" w:cs="Times New Roman"/>
          <w:sz w:val="28"/>
          <w:szCs w:val="28"/>
        </w:rPr>
        <w:t>通过CFA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一</w:t>
      </w:r>
      <w:r>
        <w:rPr>
          <w:rFonts w:ascii="Times New Roman" w:hAnsi="Times New Roman" w:eastAsia="仿宋_GB2312" w:cs="Times New Roman"/>
          <w:sz w:val="28"/>
          <w:szCs w:val="28"/>
        </w:rPr>
        <w:t>级考试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</w:p>
    <w:p w14:paraId="471AF952">
      <w:pPr>
        <w:spacing w:line="324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4.三等奖，15名，应满足以下条件之一：</w:t>
      </w:r>
    </w:p>
    <w:p w14:paraId="70DB9CD2">
      <w:pPr>
        <w:spacing w:line="324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（1）</w:t>
      </w:r>
      <w:r>
        <w:rPr>
          <w:rFonts w:ascii="Times New Roman" w:hAnsi="Times New Roman" w:eastAsia="仿宋_GB2312" w:cs="Times New Roman"/>
          <w:sz w:val="28"/>
          <w:szCs w:val="28"/>
        </w:rPr>
        <w:t>已修完CFA方向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14门</w:t>
      </w:r>
      <w:r>
        <w:rPr>
          <w:rFonts w:ascii="Times New Roman" w:hAnsi="Times New Roman" w:eastAsia="仿宋_GB2312" w:cs="Times New Roman"/>
          <w:sz w:val="28"/>
          <w:szCs w:val="28"/>
        </w:rPr>
        <w:t>课程，课程平均分（以首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考</w:t>
      </w:r>
      <w:r>
        <w:rPr>
          <w:rFonts w:ascii="Times New Roman" w:hAnsi="Times New Roman" w:eastAsia="仿宋_GB2312" w:cs="Times New Roman"/>
          <w:sz w:val="28"/>
          <w:szCs w:val="28"/>
        </w:rPr>
        <w:t>成绩计算）排名年级前1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0</w:t>
      </w:r>
      <w:r>
        <w:rPr>
          <w:rFonts w:ascii="Times New Roman" w:hAnsi="Times New Roman" w:eastAsia="仿宋_GB2312" w:cs="Times New Roman"/>
          <w:sz w:val="28"/>
          <w:szCs w:val="28"/>
        </w:rPr>
        <w:t>名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；</w:t>
      </w:r>
    </w:p>
    <w:p w14:paraId="341C22EB">
      <w:pPr>
        <w:spacing w:line="324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（2）</w:t>
      </w:r>
      <w:r>
        <w:rPr>
          <w:rFonts w:ascii="Times New Roman" w:hAnsi="Times New Roman" w:eastAsia="仿宋_GB2312" w:cs="Times New Roman"/>
          <w:sz w:val="28"/>
          <w:szCs w:val="28"/>
        </w:rPr>
        <w:t>已修完CFA方向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14门</w:t>
      </w:r>
      <w:r>
        <w:rPr>
          <w:rFonts w:ascii="Times New Roman" w:hAnsi="Times New Roman" w:eastAsia="仿宋_GB2312" w:cs="Times New Roman"/>
          <w:sz w:val="28"/>
          <w:szCs w:val="28"/>
        </w:rPr>
        <w:t>课程，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首考成绩无不及格，</w:t>
      </w:r>
      <w:r>
        <w:rPr>
          <w:rFonts w:ascii="Times New Roman" w:hAnsi="Times New Roman" w:eastAsia="仿宋_GB2312" w:cs="Times New Roman"/>
          <w:sz w:val="28"/>
          <w:szCs w:val="28"/>
        </w:rPr>
        <w:t>且通过CFA一级考试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</w:p>
    <w:p w14:paraId="36746A50">
      <w:pPr>
        <w:spacing w:line="324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5.鼓励奖，20名，应满足以下条件：</w:t>
      </w:r>
    </w:p>
    <w:p w14:paraId="2B1F49D8">
      <w:pPr>
        <w:spacing w:line="324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已修完CFA方向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14门</w:t>
      </w:r>
      <w:r>
        <w:rPr>
          <w:rFonts w:ascii="Times New Roman" w:hAnsi="Times New Roman" w:eastAsia="仿宋_GB2312" w:cs="Times New Roman"/>
          <w:sz w:val="28"/>
          <w:szCs w:val="28"/>
        </w:rPr>
        <w:t>课程，且课程平均分（以首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考</w:t>
      </w:r>
      <w:r>
        <w:rPr>
          <w:rFonts w:ascii="Times New Roman" w:hAnsi="Times New Roman" w:eastAsia="仿宋_GB2312" w:cs="Times New Roman"/>
          <w:sz w:val="28"/>
          <w:szCs w:val="28"/>
        </w:rPr>
        <w:t>成绩计算）排名年级前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3</w:t>
      </w:r>
      <w:r>
        <w:rPr>
          <w:rFonts w:ascii="Times New Roman" w:hAnsi="Times New Roman" w:eastAsia="仿宋_GB2312" w:cs="Times New Roman"/>
          <w:sz w:val="28"/>
          <w:szCs w:val="28"/>
        </w:rPr>
        <w:t>0名。</w:t>
      </w:r>
    </w:p>
    <w:p w14:paraId="06A2A179">
      <w:pPr>
        <w:spacing w:line="420" w:lineRule="atLeast"/>
        <w:ind w:firstLine="42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凡有下列情形之一的，无资格参评</w:t>
      </w:r>
      <w:r>
        <w:rPr>
          <w:rFonts w:hint="eastAsia" w:ascii="仿宋_GB2312" w:hAnsi="Times New Roman" w:eastAsia="仿宋_GB2312" w:cs="Times New Roman"/>
          <w:sz w:val="28"/>
          <w:szCs w:val="28"/>
        </w:rPr>
        <w:t>“未来金融分析师”奖学金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：</w:t>
      </w:r>
    </w:p>
    <w:p w14:paraId="2819579B">
      <w:pPr>
        <w:spacing w:line="420" w:lineRule="atLeast"/>
        <w:ind w:firstLine="280" w:firstLineChars="10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（一）违反校纪校规受到各类处分者；</w:t>
      </w:r>
    </w:p>
    <w:p w14:paraId="6F429512">
      <w:pPr>
        <w:spacing w:line="420" w:lineRule="atLeast"/>
        <w:ind w:firstLine="280" w:firstLineChars="10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（二）所修课程成绩有不合格者；</w:t>
      </w:r>
    </w:p>
    <w:p w14:paraId="685DC37B">
      <w:pPr>
        <w:spacing w:line="420" w:lineRule="atLeast"/>
        <w:ind w:firstLine="280" w:firstLineChars="10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（三）学术行为不端者；</w:t>
      </w:r>
    </w:p>
    <w:p w14:paraId="70212DE8">
      <w:pPr>
        <w:spacing w:line="420" w:lineRule="atLeast"/>
        <w:ind w:firstLine="280" w:firstLineChars="10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（四）延期毕业者(因学校原因除外)；</w:t>
      </w:r>
    </w:p>
    <w:p w14:paraId="43EB1085">
      <w:pPr>
        <w:spacing w:line="420" w:lineRule="atLeast"/>
        <w:ind w:firstLine="280" w:firstLineChars="100"/>
        <w:textAlignment w:val="baseline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（五）本年度休学者。</w:t>
      </w:r>
    </w:p>
    <w:p w14:paraId="675A0BF2">
      <w:pPr>
        <w:pStyle w:val="31"/>
        <w:numPr>
          <w:ilvl w:val="0"/>
          <w:numId w:val="1"/>
        </w:numPr>
        <w:rPr>
          <w:rFonts w:ascii="Times New Roman" w:hAnsi="Times New Roman" w:eastAsia="仿宋_GB2312" w:cs="Times New Roman"/>
          <w:b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/>
          <w:bCs/>
          <w:sz w:val="30"/>
          <w:szCs w:val="30"/>
        </w:rPr>
        <w:t>申报流程：</w:t>
      </w:r>
    </w:p>
    <w:p w14:paraId="486CE3A5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（一）</w:t>
      </w:r>
      <w:r>
        <w:rPr>
          <w:rFonts w:ascii="Times New Roman" w:hAnsi="Times New Roman" w:eastAsia="仿宋_GB2312" w:cs="Times New Roman"/>
          <w:sz w:val="28"/>
          <w:szCs w:val="28"/>
        </w:rPr>
        <w:t>由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符合条件的</w:t>
      </w:r>
      <w:r>
        <w:rPr>
          <w:rFonts w:ascii="Times New Roman" w:hAnsi="Times New Roman" w:eastAsia="仿宋_GB2312" w:cs="Times New Roman"/>
          <w:sz w:val="28"/>
          <w:szCs w:val="28"/>
        </w:rPr>
        <w:t>学生自愿申报（申请表见附件），并提交相关证明材料至金融学院（浙商资产管理学院）学办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综合楼825</w:t>
      </w:r>
      <w:r>
        <w:rPr>
          <w:rFonts w:ascii="Times New Roman" w:hAnsi="Times New Roman" w:eastAsia="仿宋_GB2312" w:cs="Times New Roman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同时，将电子版申报材料发至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提交链接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（附件1和支撑材料）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截止时间：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2024年11月1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3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日（周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三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）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24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点</w:t>
      </w:r>
      <w:r>
        <w:rPr>
          <w:rFonts w:ascii="Times New Roman" w:hAnsi="Times New Roman" w:eastAsia="仿宋_GB2312" w:cs="Times New Roman"/>
          <w:sz w:val="28"/>
          <w:szCs w:val="28"/>
        </w:rPr>
        <w:t>之前；</w:t>
      </w:r>
      <w:bookmarkStart w:id="0" w:name="_GoBack"/>
      <w:bookmarkEnd w:id="0"/>
    </w:p>
    <w:p w14:paraId="1BE460FE">
      <w:pPr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（二）</w:t>
      </w:r>
      <w:r>
        <w:rPr>
          <w:rFonts w:hint="eastAsia" w:ascii="仿宋_GB2312" w:hAnsi="Times New Roman" w:eastAsia="仿宋_GB2312" w:cs="Times New Roman"/>
          <w:sz w:val="28"/>
          <w:szCs w:val="28"/>
        </w:rPr>
        <w:t>学院组织</w:t>
      </w:r>
      <w:r>
        <w:rPr>
          <w:rFonts w:ascii="Times New Roman" w:hAnsi="Times New Roman" w:eastAsia="仿宋_GB2312" w:cs="Times New Roman"/>
          <w:sz w:val="28"/>
          <w:szCs w:val="28"/>
        </w:rPr>
        <w:t>评审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，并按规定公示评审结果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 w14:paraId="2A2A2C4F">
      <w:pPr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</w:p>
    <w:p w14:paraId="657B9FFF">
      <w:pPr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联系人：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周</w:t>
      </w:r>
      <w:r>
        <w:rPr>
          <w:rFonts w:ascii="Times New Roman" w:hAnsi="Times New Roman" w:eastAsia="仿宋_GB2312" w:cs="Times New Roman"/>
          <w:sz w:val="28"/>
          <w:szCs w:val="28"/>
        </w:rPr>
        <w:t>老师，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19550185010，655010 </w:t>
      </w:r>
    </w:p>
    <w:p w14:paraId="01A355D2">
      <w:pPr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附件1：金融学实验班（CFA）奖学金申请表</w:t>
      </w:r>
    </w:p>
    <w:p w14:paraId="6F40393E">
      <w:pPr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附件2：CFA课程名称与课程代码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EC19E2"/>
    <w:multiLevelType w:val="multilevel"/>
    <w:tmpl w:val="30EC19E2"/>
    <w:lvl w:ilvl="0" w:tentative="0">
      <w:start w:val="1"/>
      <w:numFmt w:val="japaneseCounting"/>
      <w:lvlText w:val="（%1）"/>
      <w:lvlJc w:val="left"/>
      <w:pPr>
        <w:ind w:left="1410" w:hanging="8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50" w:hanging="440"/>
      </w:pPr>
    </w:lvl>
    <w:lvl w:ilvl="2" w:tentative="0">
      <w:start w:val="1"/>
      <w:numFmt w:val="lowerRoman"/>
      <w:lvlText w:val="%3."/>
      <w:lvlJc w:val="right"/>
      <w:pPr>
        <w:ind w:left="1890" w:hanging="440"/>
      </w:pPr>
    </w:lvl>
    <w:lvl w:ilvl="3" w:tentative="0">
      <w:start w:val="1"/>
      <w:numFmt w:val="decimal"/>
      <w:lvlText w:val="%4."/>
      <w:lvlJc w:val="left"/>
      <w:pPr>
        <w:ind w:left="2330" w:hanging="440"/>
      </w:pPr>
    </w:lvl>
    <w:lvl w:ilvl="4" w:tentative="0">
      <w:start w:val="1"/>
      <w:numFmt w:val="lowerLetter"/>
      <w:lvlText w:val="%5)"/>
      <w:lvlJc w:val="left"/>
      <w:pPr>
        <w:ind w:left="2770" w:hanging="440"/>
      </w:pPr>
    </w:lvl>
    <w:lvl w:ilvl="5" w:tentative="0">
      <w:start w:val="1"/>
      <w:numFmt w:val="lowerRoman"/>
      <w:lvlText w:val="%6."/>
      <w:lvlJc w:val="right"/>
      <w:pPr>
        <w:ind w:left="3210" w:hanging="440"/>
      </w:pPr>
    </w:lvl>
    <w:lvl w:ilvl="6" w:tentative="0">
      <w:start w:val="1"/>
      <w:numFmt w:val="decimal"/>
      <w:lvlText w:val="%7."/>
      <w:lvlJc w:val="left"/>
      <w:pPr>
        <w:ind w:left="3650" w:hanging="440"/>
      </w:pPr>
    </w:lvl>
    <w:lvl w:ilvl="7" w:tentative="0">
      <w:start w:val="1"/>
      <w:numFmt w:val="lowerLetter"/>
      <w:lvlText w:val="%8)"/>
      <w:lvlJc w:val="left"/>
      <w:pPr>
        <w:ind w:left="4090" w:hanging="440"/>
      </w:pPr>
    </w:lvl>
    <w:lvl w:ilvl="8" w:tentative="0">
      <w:start w:val="1"/>
      <w:numFmt w:val="lowerRoman"/>
      <w:lvlText w:val="%9."/>
      <w:lvlJc w:val="right"/>
      <w:pPr>
        <w:ind w:left="4530" w:hanging="440"/>
      </w:pPr>
    </w:lvl>
  </w:abstractNum>
  <w:abstractNum w:abstractNumId="1">
    <w:nsid w:val="336C6D55"/>
    <w:multiLevelType w:val="multilevel"/>
    <w:tmpl w:val="336C6D55"/>
    <w:lvl w:ilvl="0" w:tentative="0">
      <w:start w:val="1"/>
      <w:numFmt w:val="japaneseCounting"/>
      <w:lvlText w:val="%1、"/>
      <w:lvlJc w:val="left"/>
      <w:pPr>
        <w:ind w:left="10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40"/>
      </w:pPr>
    </w:lvl>
    <w:lvl w:ilvl="2" w:tentative="0">
      <w:start w:val="1"/>
      <w:numFmt w:val="lowerRoman"/>
      <w:lvlText w:val="%3."/>
      <w:lvlJc w:val="right"/>
      <w:pPr>
        <w:ind w:left="1920" w:hanging="440"/>
      </w:pPr>
    </w:lvl>
    <w:lvl w:ilvl="3" w:tentative="0">
      <w:start w:val="1"/>
      <w:numFmt w:val="decimal"/>
      <w:lvlText w:val="%4."/>
      <w:lvlJc w:val="left"/>
      <w:pPr>
        <w:ind w:left="2360" w:hanging="440"/>
      </w:pPr>
    </w:lvl>
    <w:lvl w:ilvl="4" w:tentative="0">
      <w:start w:val="1"/>
      <w:numFmt w:val="lowerLetter"/>
      <w:lvlText w:val="%5)"/>
      <w:lvlJc w:val="left"/>
      <w:pPr>
        <w:ind w:left="2800" w:hanging="440"/>
      </w:pPr>
    </w:lvl>
    <w:lvl w:ilvl="5" w:tentative="0">
      <w:start w:val="1"/>
      <w:numFmt w:val="lowerRoman"/>
      <w:lvlText w:val="%6."/>
      <w:lvlJc w:val="right"/>
      <w:pPr>
        <w:ind w:left="3240" w:hanging="440"/>
      </w:pPr>
    </w:lvl>
    <w:lvl w:ilvl="6" w:tentative="0">
      <w:start w:val="1"/>
      <w:numFmt w:val="decimal"/>
      <w:lvlText w:val="%7."/>
      <w:lvlJc w:val="left"/>
      <w:pPr>
        <w:ind w:left="3680" w:hanging="440"/>
      </w:pPr>
    </w:lvl>
    <w:lvl w:ilvl="7" w:tentative="0">
      <w:start w:val="1"/>
      <w:numFmt w:val="lowerLetter"/>
      <w:lvlText w:val="%8)"/>
      <w:lvlJc w:val="left"/>
      <w:pPr>
        <w:ind w:left="4120" w:hanging="440"/>
      </w:pPr>
    </w:lvl>
    <w:lvl w:ilvl="8" w:tentative="0">
      <w:start w:val="1"/>
      <w:numFmt w:val="lowerRoman"/>
      <w:lvlText w:val="%9."/>
      <w:lvlJc w:val="right"/>
      <w:pPr>
        <w:ind w:left="45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g3NTE4NTE1Zjk2ZjVlNmI5YmQ0MzU3ODllYzA3MDEifQ=="/>
  </w:docVars>
  <w:rsids>
    <w:rsidRoot w:val="002E6FF0"/>
    <w:rsid w:val="000247C8"/>
    <w:rsid w:val="00025F2D"/>
    <w:rsid w:val="000535BF"/>
    <w:rsid w:val="00062D00"/>
    <w:rsid w:val="00081545"/>
    <w:rsid w:val="000A6C66"/>
    <w:rsid w:val="000D5549"/>
    <w:rsid w:val="000E4964"/>
    <w:rsid w:val="000F66CE"/>
    <w:rsid w:val="00114136"/>
    <w:rsid w:val="00132F1F"/>
    <w:rsid w:val="001374FC"/>
    <w:rsid w:val="00145448"/>
    <w:rsid w:val="001979D3"/>
    <w:rsid w:val="001D20E0"/>
    <w:rsid w:val="001F15BF"/>
    <w:rsid w:val="002036CD"/>
    <w:rsid w:val="00203A9B"/>
    <w:rsid w:val="00207FA8"/>
    <w:rsid w:val="002335F3"/>
    <w:rsid w:val="002647E6"/>
    <w:rsid w:val="002D1FBD"/>
    <w:rsid w:val="002D7FDD"/>
    <w:rsid w:val="002E6FF0"/>
    <w:rsid w:val="00312398"/>
    <w:rsid w:val="00324300"/>
    <w:rsid w:val="00335715"/>
    <w:rsid w:val="003A4BE6"/>
    <w:rsid w:val="003F3213"/>
    <w:rsid w:val="0042020B"/>
    <w:rsid w:val="00454076"/>
    <w:rsid w:val="004671ED"/>
    <w:rsid w:val="004723E2"/>
    <w:rsid w:val="00477B61"/>
    <w:rsid w:val="00480B56"/>
    <w:rsid w:val="004B36D8"/>
    <w:rsid w:val="004B7FFC"/>
    <w:rsid w:val="004C41F9"/>
    <w:rsid w:val="004E5276"/>
    <w:rsid w:val="005021EA"/>
    <w:rsid w:val="00521ECF"/>
    <w:rsid w:val="00540ADA"/>
    <w:rsid w:val="0055496B"/>
    <w:rsid w:val="005B3E77"/>
    <w:rsid w:val="005B5F28"/>
    <w:rsid w:val="005B791C"/>
    <w:rsid w:val="005F1B54"/>
    <w:rsid w:val="00601550"/>
    <w:rsid w:val="00606F67"/>
    <w:rsid w:val="00610E33"/>
    <w:rsid w:val="00663209"/>
    <w:rsid w:val="00682AF8"/>
    <w:rsid w:val="006E7DA1"/>
    <w:rsid w:val="00701962"/>
    <w:rsid w:val="00705C89"/>
    <w:rsid w:val="0071767B"/>
    <w:rsid w:val="00744B86"/>
    <w:rsid w:val="00773022"/>
    <w:rsid w:val="007B1C0B"/>
    <w:rsid w:val="007B25C6"/>
    <w:rsid w:val="007B6FE9"/>
    <w:rsid w:val="007C28A3"/>
    <w:rsid w:val="007C67AF"/>
    <w:rsid w:val="007F195A"/>
    <w:rsid w:val="008223E0"/>
    <w:rsid w:val="00833324"/>
    <w:rsid w:val="00867F01"/>
    <w:rsid w:val="0087109C"/>
    <w:rsid w:val="00891359"/>
    <w:rsid w:val="008B69D6"/>
    <w:rsid w:val="008C4503"/>
    <w:rsid w:val="009926A8"/>
    <w:rsid w:val="009A1B25"/>
    <w:rsid w:val="009A29A3"/>
    <w:rsid w:val="009F614D"/>
    <w:rsid w:val="00A30CBB"/>
    <w:rsid w:val="00A317BB"/>
    <w:rsid w:val="00A57814"/>
    <w:rsid w:val="00AC788B"/>
    <w:rsid w:val="00B07A21"/>
    <w:rsid w:val="00B15800"/>
    <w:rsid w:val="00B72092"/>
    <w:rsid w:val="00B84DDF"/>
    <w:rsid w:val="00BA6E7B"/>
    <w:rsid w:val="00BD17CF"/>
    <w:rsid w:val="00C65052"/>
    <w:rsid w:val="00CA5686"/>
    <w:rsid w:val="00CA7510"/>
    <w:rsid w:val="00CC18A0"/>
    <w:rsid w:val="00CC45B5"/>
    <w:rsid w:val="00CC6F0E"/>
    <w:rsid w:val="00D15364"/>
    <w:rsid w:val="00D63B3D"/>
    <w:rsid w:val="00D678C9"/>
    <w:rsid w:val="00DA397F"/>
    <w:rsid w:val="00DB76C1"/>
    <w:rsid w:val="00DD121A"/>
    <w:rsid w:val="00E1598D"/>
    <w:rsid w:val="00E47DE2"/>
    <w:rsid w:val="00E55666"/>
    <w:rsid w:val="00E96748"/>
    <w:rsid w:val="00ED1D8A"/>
    <w:rsid w:val="00EF442A"/>
    <w:rsid w:val="00F24420"/>
    <w:rsid w:val="00F25229"/>
    <w:rsid w:val="00F44DCE"/>
    <w:rsid w:val="00F45BDD"/>
    <w:rsid w:val="00F61F43"/>
    <w:rsid w:val="00F706B4"/>
    <w:rsid w:val="00F80EEB"/>
    <w:rsid w:val="00FA7AE5"/>
    <w:rsid w:val="00FE38DB"/>
    <w:rsid w:val="6A17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Palatino Linotype" w:hAnsi="Palatino Linotype" w:eastAsia="华文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Palatino Linotype" w:hAnsi="Palatino Linotype" w:eastAsia="华文仿宋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rPr>
      <w:rFonts w:ascii="等线" w:hAnsi="等线" w:eastAsia="等线"/>
      <w:sz w:val="21"/>
      <w:szCs w:val="21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asciiTheme="minorHAnsi" w:hAnsiTheme="minorHAnsi" w:eastAsiaTheme="minorEastAsia" w:cstheme="majorBidi"/>
      <w:color w:val="2F5597" w:themeColor="accent1" w:themeShade="BF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1154</Words>
  <Characters>1278</Characters>
  <Lines>9</Lines>
  <Paragraphs>2</Paragraphs>
  <TotalTime>0</TotalTime>
  <ScaleCrop>false</ScaleCrop>
  <LinksUpToDate>false</LinksUpToDate>
  <CharactersWithSpaces>1285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2024-11-11T02:20:00Z</dcterms:created>
  <dc:creator>Richard Gu</dc:creator>
  <cp:lastModifiedBy>你若盛开</cp:lastModifiedBy>
  <cp:lastPrinted>2024-11-11T01:33:00Z</cp:lastPrinted>
  <dcterms:modified xsi:type="dcterms:W3CDTF">2024-11-13T02:23:04Z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B8C949FAEF814942969ECB7473973FFE_12</vt:lpwstr>
  </property>
</Properties>
</file>