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7"/>
        <w:tabs>
          <w:tab w:val="left" w:pos="993"/>
        </w:tabs>
        <w:snapToGrid w:val="0"/>
        <w:spacing w:before="156" w:beforeLines="50" w:after="156" w:afterLines="50" w:line="300" w:lineRule="auto"/>
        <w:ind w:right="-388" w:rightChars="-185" w:firstLine="0" w:firstLineChars="0"/>
        <w:jc w:val="center"/>
        <w:rPr>
          <w:rFonts w:ascii="Times New Roman" w:hAnsi="Times New Roman" w:eastAsia="华文中宋"/>
          <w:b/>
          <w:sz w:val="32"/>
          <w:szCs w:val="32"/>
        </w:rPr>
      </w:pPr>
      <w:r>
        <w:rPr>
          <w:rFonts w:ascii="Times New Roman" w:hAnsi="Times New Roman" w:eastAsia="华文中宋"/>
          <w:b/>
          <w:sz w:val="32"/>
          <w:szCs w:val="32"/>
          <w:u w:val="single"/>
        </w:rPr>
        <w:t xml:space="preserve"> 金融工程 </w:t>
      </w:r>
      <w:r>
        <w:rPr>
          <w:rFonts w:ascii="Times New Roman" w:hAnsi="Times New Roman" w:eastAsia="华文中宋"/>
          <w:b/>
          <w:sz w:val="32"/>
          <w:szCs w:val="32"/>
        </w:rPr>
        <w:t>专业培养方案（2017版）</w:t>
      </w:r>
    </w:p>
    <w:p>
      <w:pPr>
        <w:snapToGrid w:val="0"/>
        <w:spacing w:before="156" w:beforeLines="50" w:after="156" w:afterLines="50" w:line="300" w:lineRule="auto"/>
        <w:ind w:right="-388" w:rightChars="-185"/>
        <w:jc w:val="center"/>
        <w:rPr>
          <w:rFonts w:eastAsia="黑体"/>
          <w:b/>
          <w:szCs w:val="21"/>
        </w:rPr>
      </w:pPr>
      <w:r>
        <w:rPr>
          <w:rFonts w:eastAsia="黑体"/>
          <w:b/>
          <w:szCs w:val="21"/>
        </w:rPr>
        <w:t>专业代码：</w:t>
      </w:r>
      <w:r>
        <w:rPr>
          <w:rFonts w:eastAsia="黑体"/>
          <w:b/>
          <w:szCs w:val="21"/>
          <w:u w:val="single"/>
        </w:rPr>
        <w:t xml:space="preserve"> </w:t>
      </w:r>
      <w:r>
        <w:rPr>
          <w:rFonts w:hint="eastAsia" w:eastAsia="黑体"/>
          <w:b/>
          <w:szCs w:val="21"/>
          <w:u w:val="single"/>
        </w:rPr>
        <w:t xml:space="preserve"> </w:t>
      </w:r>
      <w:r>
        <w:rPr>
          <w:rFonts w:eastAsia="黑体"/>
          <w:b/>
          <w:szCs w:val="21"/>
          <w:u w:val="single"/>
        </w:rPr>
        <w:t>0</w:t>
      </w:r>
      <w:r>
        <w:rPr>
          <w:rFonts w:hint="eastAsia" w:eastAsia="黑体"/>
          <w:b/>
          <w:szCs w:val="21"/>
          <w:u w:val="single"/>
        </w:rPr>
        <w:t>20302</w:t>
      </w:r>
      <w:r>
        <w:rPr>
          <w:rFonts w:eastAsia="黑体"/>
          <w:b/>
          <w:szCs w:val="21"/>
          <w:u w:val="single"/>
        </w:rPr>
        <w:t xml:space="preserve">  </w:t>
      </w:r>
      <w:r>
        <w:rPr>
          <w:rFonts w:eastAsia="黑体"/>
          <w:b/>
          <w:szCs w:val="21"/>
        </w:rPr>
        <w:t xml:space="preserve">   </w:t>
      </w:r>
      <w:r>
        <w:rPr>
          <w:rFonts w:eastAsia="黑体"/>
          <w:b/>
          <w:szCs w:val="21"/>
          <w:u w:val="single"/>
        </w:rPr>
        <w:t>2017</w:t>
      </w:r>
      <w:r>
        <w:rPr>
          <w:rFonts w:eastAsia="黑体"/>
          <w:b/>
          <w:szCs w:val="21"/>
        </w:rPr>
        <w:t xml:space="preserve">年入学适用      </w:t>
      </w:r>
      <w:r>
        <w:rPr>
          <w:rFonts w:eastAsia="黑体"/>
          <w:b/>
          <w:szCs w:val="21"/>
          <w:u w:val="single"/>
        </w:rPr>
        <w:t xml:space="preserve"> 四 </w:t>
      </w:r>
      <w:r>
        <w:rPr>
          <w:rFonts w:eastAsia="黑体"/>
          <w:b/>
          <w:szCs w:val="21"/>
        </w:rPr>
        <w:t>年制本科生</w:t>
      </w:r>
    </w:p>
    <w:p>
      <w:pPr>
        <w:snapToGrid w:val="0"/>
        <w:spacing w:line="360" w:lineRule="auto"/>
        <w:ind w:right="-388" w:rightChars="-185" w:firstLine="472" w:firstLineChars="196"/>
        <w:rPr>
          <w:rFonts w:eastAsia="黑体"/>
          <w:b/>
          <w:sz w:val="24"/>
        </w:rPr>
      </w:pPr>
      <w:r>
        <w:rPr>
          <w:rFonts w:eastAsia="黑体"/>
          <w:b/>
          <w:sz w:val="24"/>
        </w:rPr>
        <w:t>一、专业培养目标及要求</w:t>
      </w:r>
    </w:p>
    <w:p>
      <w:pPr>
        <w:snapToGrid w:val="0"/>
        <w:spacing w:line="360" w:lineRule="auto"/>
        <w:ind w:right="-388" w:rightChars="-185" w:firstLine="413" w:firstLineChars="196"/>
        <w:jc w:val="left"/>
        <w:rPr>
          <w:b/>
          <w:szCs w:val="21"/>
        </w:rPr>
      </w:pPr>
      <w:r>
        <w:rPr>
          <w:b/>
          <w:szCs w:val="21"/>
        </w:rPr>
        <w:t>1、培养目标</w:t>
      </w:r>
    </w:p>
    <w:p>
      <w:pPr>
        <w:snapToGrid w:val="0"/>
        <w:spacing w:line="360" w:lineRule="auto"/>
        <w:ind w:right="-388" w:rightChars="-185" w:firstLine="420" w:firstLineChars="200"/>
        <w:jc w:val="left"/>
        <w:rPr>
          <w:b/>
          <w:szCs w:val="21"/>
        </w:rPr>
      </w:pPr>
      <w:r>
        <w:rPr>
          <w:color w:val="000000"/>
          <w:szCs w:val="21"/>
        </w:rPr>
        <w:t>本专业培养适应经济社会发展需要，具有强烈社会责任感和良好道德修养，掌握金融学基本理论及金融工程学基本原理，具备扎实的数学、统计、信息技术、法律和财务等复合型知识结构，拥有金融数据分析能力和风险管理能力，能够开发、设计新型的金融工具和交易策略，具有国际化视野，能在</w:t>
      </w:r>
      <w:r>
        <w:rPr>
          <w:rFonts w:hint="eastAsia"/>
          <w:color w:val="000000"/>
          <w:szCs w:val="21"/>
        </w:rPr>
        <w:t>商业银行、投资银行、证券公司、期货公司、互联网金融公司、经济管理部门</w:t>
      </w:r>
      <w:r>
        <w:rPr>
          <w:color w:val="000000"/>
          <w:szCs w:val="21"/>
        </w:rPr>
        <w:t>等机构从事金融工程相关业务的应用型、复合型、创新型人才。</w:t>
      </w:r>
    </w:p>
    <w:p>
      <w:pPr>
        <w:snapToGrid w:val="0"/>
        <w:spacing w:line="360" w:lineRule="auto"/>
        <w:ind w:right="-388" w:rightChars="-185" w:firstLine="413" w:firstLineChars="196"/>
        <w:jc w:val="left"/>
        <w:rPr>
          <w:b/>
          <w:szCs w:val="21"/>
        </w:rPr>
      </w:pPr>
      <w:r>
        <w:rPr>
          <w:b/>
          <w:szCs w:val="21"/>
        </w:rPr>
        <w:t>2、培养要求</w:t>
      </w:r>
    </w:p>
    <w:p>
      <w:pPr>
        <w:snapToGrid w:val="0"/>
        <w:spacing w:line="360" w:lineRule="auto"/>
        <w:ind w:right="-388" w:rightChars="-185" w:firstLine="420" w:firstLineChars="200"/>
        <w:rPr>
          <w:szCs w:val="21"/>
        </w:rPr>
      </w:pPr>
      <w:r>
        <w:rPr>
          <w:szCs w:val="21"/>
        </w:rPr>
        <w:t>本专业学生经过4年学习，应达到以下基本要求：</w:t>
      </w:r>
    </w:p>
    <w:p>
      <w:pPr>
        <w:snapToGrid w:val="0"/>
        <w:spacing w:line="360" w:lineRule="auto"/>
        <w:ind w:right="-388" w:rightChars="-185" w:firstLine="315" w:firstLineChars="150"/>
        <w:rPr>
          <w:szCs w:val="21"/>
        </w:rPr>
      </w:pPr>
      <w:r>
        <w:rPr>
          <w:szCs w:val="21"/>
        </w:rPr>
        <w:t>（1）具有良好的思想政治素质，树立正确的世界观、人生观和价值观，具有良好的职业道德、高尚的人格和强烈的社会责任感。</w:t>
      </w:r>
    </w:p>
    <w:p>
      <w:pPr>
        <w:snapToGrid w:val="0"/>
        <w:spacing w:line="360" w:lineRule="auto"/>
        <w:ind w:right="-388" w:rightChars="-185" w:firstLine="315" w:firstLineChars="150"/>
        <w:rPr>
          <w:szCs w:val="21"/>
        </w:rPr>
      </w:pPr>
      <w:r>
        <w:rPr>
          <w:szCs w:val="21"/>
        </w:rPr>
        <w:t>（2）系统掌握现代金融理论基础，具有较为广博的人文、历史等科学知识，注重与数学、统计、信息技术等其他学科的交叉，熟悉金融工程技术方法，了解国家有关经济和金融的方针、政策</w:t>
      </w:r>
      <w:r>
        <w:rPr>
          <w:rFonts w:hint="eastAsia"/>
          <w:szCs w:val="21"/>
        </w:rPr>
        <w:t>、</w:t>
      </w:r>
      <w:r>
        <w:rPr>
          <w:szCs w:val="21"/>
        </w:rPr>
        <w:t>法规，了解金融工程领域发展动态。</w:t>
      </w:r>
    </w:p>
    <w:p>
      <w:pPr>
        <w:snapToGrid w:val="0"/>
        <w:spacing w:line="360" w:lineRule="auto"/>
        <w:ind w:right="-388" w:rightChars="-185" w:firstLine="315" w:firstLineChars="150"/>
        <w:rPr>
          <w:szCs w:val="21"/>
        </w:rPr>
      </w:pPr>
      <w:r>
        <w:rPr>
          <w:szCs w:val="21"/>
        </w:rPr>
        <w:t>（3）具有扎实的数学、计量经济学、金融工程学理论基础，掌握基本的数学建模技巧和金融市场实证研究技能，拥有较强的金融数据分析能力和风险管理能力，具有较好的学习能力、写作能力、语言表达能力、人际沟通能力</w:t>
      </w:r>
      <w:r>
        <w:rPr>
          <w:rFonts w:hint="eastAsia"/>
          <w:szCs w:val="21"/>
        </w:rPr>
        <w:t>和</w:t>
      </w:r>
      <w:r>
        <w:rPr>
          <w:szCs w:val="21"/>
        </w:rPr>
        <w:t>组织协调能力，具备团队合作精神。</w:t>
      </w:r>
    </w:p>
    <w:p>
      <w:pPr>
        <w:snapToGrid w:val="0"/>
        <w:spacing w:line="360" w:lineRule="auto"/>
        <w:ind w:right="-388" w:rightChars="-185" w:firstLine="315" w:firstLineChars="150"/>
        <w:rPr>
          <w:szCs w:val="21"/>
        </w:rPr>
      </w:pPr>
      <w:r>
        <w:rPr>
          <w:szCs w:val="21"/>
        </w:rPr>
        <w:t>（4）具有创新意识和创造潜力，能够灵活地运用现代金融理论、金融工程方法和技术，创造性地设计金融产品及交易策略、解决实际金融问题。</w:t>
      </w:r>
    </w:p>
    <w:p>
      <w:pPr>
        <w:pStyle w:val="16"/>
        <w:tabs>
          <w:tab w:val="left" w:pos="900"/>
        </w:tabs>
        <w:snapToGrid w:val="0"/>
        <w:spacing w:line="360" w:lineRule="auto"/>
        <w:ind w:right="-388" w:rightChars="-185" w:firstLine="315" w:firstLineChars="150"/>
        <w:rPr>
          <w:rFonts w:ascii="Times New Roman" w:hAnsi="Times New Roman"/>
        </w:rPr>
      </w:pPr>
      <w:r>
        <w:rPr>
          <w:rFonts w:ascii="Times New Roman" w:hAnsi="Times New Roman"/>
        </w:rPr>
        <w:t>（5）具有较强的外语实际应用能力，具备国际化视野和跨文化的交流、竞争与合作能力。</w:t>
      </w:r>
    </w:p>
    <w:p>
      <w:pPr>
        <w:pStyle w:val="64"/>
        <w:snapToGrid w:val="0"/>
        <w:spacing w:line="360" w:lineRule="auto"/>
        <w:ind w:right="-388" w:rightChars="-185" w:firstLine="472" w:firstLineChars="196"/>
        <w:jc w:val="left"/>
        <w:rPr>
          <w:rFonts w:ascii="Times New Roman" w:hAnsi="Times New Roman" w:eastAsia="黑体"/>
          <w:b/>
          <w:sz w:val="24"/>
          <w:szCs w:val="24"/>
        </w:rPr>
      </w:pPr>
      <w:r>
        <w:rPr>
          <w:rFonts w:ascii="Times New Roman" w:hAnsi="Times New Roman" w:eastAsia="黑体"/>
          <w:b/>
          <w:sz w:val="24"/>
          <w:szCs w:val="24"/>
        </w:rPr>
        <w:t>二、毕业生能力要求</w:t>
      </w:r>
    </w:p>
    <w:p>
      <w:pPr>
        <w:pStyle w:val="16"/>
        <w:tabs>
          <w:tab w:val="left" w:pos="945"/>
          <w:tab w:val="left" w:pos="2052"/>
        </w:tabs>
        <w:snapToGrid w:val="0"/>
        <w:spacing w:line="360" w:lineRule="auto"/>
        <w:ind w:right="-388" w:rightChars="-185" w:firstLine="413" w:firstLineChars="196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1、人文情怀</w:t>
      </w:r>
    </w:p>
    <w:p>
      <w:pPr>
        <w:pStyle w:val="16"/>
        <w:tabs>
          <w:tab w:val="left" w:pos="0"/>
          <w:tab w:val="left" w:pos="624"/>
          <w:tab w:val="left" w:pos="900"/>
          <w:tab w:val="left" w:pos="1162"/>
        </w:tabs>
        <w:snapToGrid w:val="0"/>
        <w:spacing w:line="360" w:lineRule="auto"/>
        <w:ind w:right="-388" w:rightChars="-185" w:firstLine="413" w:firstLineChars="196"/>
        <w:rPr>
          <w:rFonts w:ascii="Times New Roman" w:hAnsi="Times New Roman"/>
          <w:color w:val="000000"/>
        </w:rPr>
      </w:pPr>
      <w:r>
        <w:rPr>
          <w:rFonts w:hint="eastAsia" w:hAnsi="宋体" w:cs="宋体"/>
          <w:b/>
          <w:color w:val="000000"/>
        </w:rPr>
        <w:t>①</w:t>
      </w:r>
      <w:r>
        <w:rPr>
          <w:rFonts w:ascii="Times New Roman" w:hAnsi="Times New Roman"/>
          <w:b/>
          <w:color w:val="000000"/>
        </w:rPr>
        <w:t>正确的“三观”。</w:t>
      </w:r>
      <w:r>
        <w:rPr>
          <w:rFonts w:ascii="Times New Roman" w:hAnsi="Times New Roman"/>
          <w:color w:val="000000"/>
        </w:rPr>
        <w:t>掌握马克思列宁主义、毛泽东思想、邓小平理论、“三个代表”重要思想、科学发展观和习近平总书记系列重要讲话精神，树立正确的世界观、人生观和价值观，了解我国基本国情，理论联系实际，实事求是。</w:t>
      </w:r>
    </w:p>
    <w:p>
      <w:pPr>
        <w:pStyle w:val="16"/>
        <w:tabs>
          <w:tab w:val="left" w:pos="0"/>
          <w:tab w:val="left" w:pos="624"/>
          <w:tab w:val="left" w:pos="900"/>
          <w:tab w:val="left" w:pos="1162"/>
        </w:tabs>
        <w:snapToGrid w:val="0"/>
        <w:spacing w:line="360" w:lineRule="auto"/>
        <w:ind w:right="-388" w:rightChars="-185" w:firstLine="413" w:firstLineChars="196"/>
        <w:rPr>
          <w:rFonts w:ascii="Times New Roman" w:hAnsi="Times New Roman"/>
          <w:color w:val="000000"/>
        </w:rPr>
      </w:pPr>
      <w:r>
        <w:rPr>
          <w:rFonts w:hint="eastAsia" w:hAnsi="宋体" w:cs="宋体"/>
          <w:b/>
          <w:color w:val="000000"/>
        </w:rPr>
        <w:t>②</w:t>
      </w:r>
      <w:r>
        <w:rPr>
          <w:rFonts w:ascii="Times New Roman" w:hAnsi="Times New Roman"/>
          <w:b/>
          <w:color w:val="000000"/>
        </w:rPr>
        <w:t>社会责任感。</w:t>
      </w:r>
      <w:r>
        <w:rPr>
          <w:rFonts w:ascii="Times New Roman" w:hAnsi="Times New Roman"/>
          <w:color w:val="000000"/>
        </w:rPr>
        <w:t>注重科学精神与人文关怀培养相结合，引导学生关注社会问题，树立忧患意识和使命感，树立回报社会意识，具有服务家庭、他人、集体、民族和国家的强烈社会责任感。</w:t>
      </w:r>
    </w:p>
    <w:p>
      <w:pPr>
        <w:pStyle w:val="16"/>
        <w:tabs>
          <w:tab w:val="left" w:pos="0"/>
          <w:tab w:val="left" w:pos="624"/>
          <w:tab w:val="left" w:pos="900"/>
          <w:tab w:val="left" w:pos="1162"/>
        </w:tabs>
        <w:snapToGrid w:val="0"/>
        <w:spacing w:line="360" w:lineRule="auto"/>
        <w:ind w:right="-388" w:rightChars="-185" w:firstLine="413" w:firstLineChars="196"/>
        <w:rPr>
          <w:rFonts w:ascii="Times New Roman" w:hAnsi="Times New Roman"/>
          <w:color w:val="000000"/>
        </w:rPr>
      </w:pPr>
      <w:r>
        <w:rPr>
          <w:rFonts w:hint="eastAsia" w:hAnsi="宋体" w:cs="宋体"/>
          <w:b/>
          <w:color w:val="000000"/>
        </w:rPr>
        <w:t>③</w:t>
      </w:r>
      <w:r>
        <w:rPr>
          <w:rFonts w:ascii="Times New Roman" w:hAnsi="Times New Roman"/>
          <w:b/>
          <w:color w:val="000000"/>
        </w:rPr>
        <w:t>道德修养。</w:t>
      </w:r>
      <w:r>
        <w:rPr>
          <w:rFonts w:ascii="Times New Roman" w:hAnsi="Times New Roman"/>
          <w:color w:val="000000"/>
        </w:rPr>
        <w:t>培养学生树立正确的道德观念，遵循正确的道德原则和道德规范，具有吃苦耐劳的精神、乐观向上的心理素质和良好的挫折承受力，具备健全的品行人格、良好的职业道德和高尚的君子之德。</w:t>
      </w:r>
    </w:p>
    <w:p>
      <w:pPr>
        <w:pStyle w:val="16"/>
        <w:tabs>
          <w:tab w:val="left" w:pos="945"/>
          <w:tab w:val="left" w:pos="2052"/>
        </w:tabs>
        <w:snapToGrid w:val="0"/>
        <w:spacing w:line="360" w:lineRule="auto"/>
        <w:ind w:right="-388" w:rightChars="-185" w:firstLine="413" w:firstLineChars="196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2、专业素养</w:t>
      </w:r>
    </w:p>
    <w:p>
      <w:pPr>
        <w:pStyle w:val="16"/>
        <w:tabs>
          <w:tab w:val="left" w:pos="945"/>
          <w:tab w:val="left" w:pos="2052"/>
        </w:tabs>
        <w:snapToGrid w:val="0"/>
        <w:spacing w:line="360" w:lineRule="auto"/>
        <w:ind w:right="-388" w:rightChars="-185" w:firstLine="413" w:firstLineChars="196"/>
        <w:rPr>
          <w:rFonts w:ascii="Times New Roman" w:hAnsi="Times New Roman"/>
          <w:b/>
          <w:bCs/>
          <w:color w:val="000000"/>
        </w:rPr>
      </w:pPr>
      <w:r>
        <w:rPr>
          <w:rFonts w:hint="eastAsia" w:hAnsi="宋体" w:cs="宋体"/>
          <w:b/>
          <w:color w:val="000000"/>
        </w:rPr>
        <w:t>①</w:t>
      </w:r>
      <w:r>
        <w:rPr>
          <w:rFonts w:ascii="Times New Roman" w:hAnsi="Times New Roman"/>
          <w:b/>
          <w:color w:val="000000"/>
        </w:rPr>
        <w:t>扎实的专业知识。</w:t>
      </w:r>
      <w:r>
        <w:rPr>
          <w:rFonts w:ascii="Times New Roman" w:hAnsi="Times New Roman"/>
          <w:color w:val="000000"/>
        </w:rPr>
        <w:t>掌握宽厚扎实的经济、金融理论基础，熟悉金融市场的运行机制和金融机构的业务经营及管理，注重与数学、统计、信息技术、法律等其他学科知识的交叉，了解经济金融政策和金融工程理论前沿。</w:t>
      </w:r>
    </w:p>
    <w:p>
      <w:pPr>
        <w:pStyle w:val="16"/>
        <w:tabs>
          <w:tab w:val="left" w:pos="993"/>
          <w:tab w:val="left" w:pos="6405"/>
        </w:tabs>
        <w:snapToGrid w:val="0"/>
        <w:spacing w:line="360" w:lineRule="auto"/>
        <w:ind w:right="-388" w:rightChars="-185" w:firstLine="413" w:firstLineChars="196"/>
        <w:rPr>
          <w:rFonts w:ascii="Times New Roman" w:hAnsi="Times New Roman"/>
          <w:b/>
          <w:color w:val="000000"/>
        </w:rPr>
      </w:pPr>
      <w:r>
        <w:rPr>
          <w:rFonts w:hint="eastAsia" w:hAnsi="宋体" w:cs="宋体"/>
          <w:b/>
          <w:color w:val="000000"/>
        </w:rPr>
        <w:t>②</w:t>
      </w:r>
      <w:r>
        <w:rPr>
          <w:rFonts w:ascii="Times New Roman" w:hAnsi="Times New Roman"/>
          <w:b/>
          <w:color w:val="000000"/>
        </w:rPr>
        <w:t>自主学习能力。</w:t>
      </w:r>
      <w:r>
        <w:rPr>
          <w:rFonts w:ascii="Times New Roman" w:hAnsi="Times New Roman"/>
          <w:color w:val="000000"/>
        </w:rPr>
        <w:t>具有自主学习的意识，拥有对新生事物特别是金融工程领域的前沿知识、新产品进行探索的兴趣和勇气，能将外在的知识观念转化为其内在的精神财富，具备良好的信息素养，能把信息技术作为支持终身学习和合作学习的手段。</w:t>
      </w:r>
    </w:p>
    <w:p>
      <w:pPr>
        <w:pStyle w:val="16"/>
        <w:tabs>
          <w:tab w:val="left" w:pos="993"/>
          <w:tab w:val="left" w:pos="6405"/>
        </w:tabs>
        <w:snapToGrid w:val="0"/>
        <w:spacing w:line="360" w:lineRule="auto"/>
        <w:ind w:right="-388" w:rightChars="-185" w:firstLine="413" w:firstLineChars="196"/>
        <w:rPr>
          <w:rFonts w:ascii="Times New Roman" w:hAnsi="Times New Roman"/>
          <w:color w:val="000000"/>
        </w:rPr>
      </w:pPr>
      <w:r>
        <w:rPr>
          <w:rFonts w:hint="eastAsia" w:hAnsi="宋体" w:cs="宋体"/>
          <w:b/>
          <w:color w:val="000000"/>
        </w:rPr>
        <w:t>③</w:t>
      </w:r>
      <w:r>
        <w:rPr>
          <w:rFonts w:ascii="Times New Roman" w:hAnsi="Times New Roman"/>
          <w:b/>
          <w:color w:val="000000"/>
        </w:rPr>
        <w:t>逻辑推理能力。</w:t>
      </w:r>
      <w:r>
        <w:rPr>
          <w:rFonts w:ascii="Times New Roman" w:hAnsi="Times New Roman"/>
          <w:color w:val="000000"/>
        </w:rPr>
        <w:t>具有利用金融工程专业知识对国内外经济现象、金融事件进行观察、比较、分析、概括、判断和推理的能力，具有采用科学的逻辑方法，准确而有条理地表达自己</w:t>
      </w:r>
      <w:r>
        <w:fldChar w:fldCharType="begin"/>
      </w:r>
      <w:r>
        <w:instrText xml:space="preserve"> HYPERLINK "http://baike.baidu.com/view/1357579.htm" \t "http://baike.baidu.com/_blank" </w:instrText>
      </w:r>
      <w:r>
        <w:fldChar w:fldCharType="separate"/>
      </w:r>
      <w:r>
        <w:rPr>
          <w:rFonts w:ascii="Times New Roman" w:hAnsi="Times New Roman"/>
          <w:color w:val="000000"/>
        </w:rPr>
        <w:t>思维过程</w:t>
      </w:r>
      <w:r>
        <w:rPr>
          <w:rFonts w:ascii="Times New Roman" w:hAnsi="Times New Roman"/>
          <w:color w:val="000000"/>
        </w:rPr>
        <w:fldChar w:fldCharType="end"/>
      </w:r>
      <w:r>
        <w:rPr>
          <w:rFonts w:ascii="Times New Roman" w:hAnsi="Times New Roman"/>
          <w:color w:val="000000"/>
        </w:rPr>
        <w:t>的能力。</w:t>
      </w:r>
    </w:p>
    <w:p>
      <w:pPr>
        <w:pStyle w:val="16"/>
        <w:tabs>
          <w:tab w:val="left" w:pos="993"/>
          <w:tab w:val="left" w:pos="6405"/>
        </w:tabs>
        <w:snapToGrid w:val="0"/>
        <w:spacing w:line="360" w:lineRule="auto"/>
        <w:ind w:right="-388" w:rightChars="-185" w:firstLine="413" w:firstLineChars="196"/>
        <w:rPr>
          <w:rFonts w:ascii="Times New Roman" w:hAnsi="Times New Roman"/>
          <w:color w:val="000000"/>
        </w:rPr>
      </w:pPr>
      <w:r>
        <w:rPr>
          <w:rFonts w:hint="eastAsia" w:hAnsi="宋体" w:cs="宋体"/>
          <w:b/>
          <w:color w:val="000000"/>
        </w:rPr>
        <w:t>④</w:t>
      </w:r>
      <w:r>
        <w:rPr>
          <w:rFonts w:ascii="Times New Roman" w:hAnsi="Times New Roman"/>
          <w:b/>
          <w:color w:val="000000"/>
        </w:rPr>
        <w:t>金融数据分析能力。</w:t>
      </w:r>
      <w:r>
        <w:rPr>
          <w:rFonts w:ascii="Times New Roman" w:hAnsi="Times New Roman"/>
          <w:color w:val="000000"/>
        </w:rPr>
        <w:t>掌握资料查询、信息检索及运用现代信息技术获取金融数据的基本方法；适应大数据金融和互联网金融发展需要，具备运用计算机程序进行大数据收集、处理、分析和预测的能力；具备构建金融数理模型并进行金融信息分析的能力。</w:t>
      </w:r>
    </w:p>
    <w:p>
      <w:pPr>
        <w:pStyle w:val="16"/>
        <w:tabs>
          <w:tab w:val="left" w:pos="993"/>
          <w:tab w:val="left" w:pos="6405"/>
        </w:tabs>
        <w:snapToGrid w:val="0"/>
        <w:spacing w:line="360" w:lineRule="auto"/>
        <w:ind w:right="-388" w:rightChars="-185" w:firstLine="413" w:firstLineChars="196"/>
        <w:rPr>
          <w:rFonts w:ascii="Times New Roman" w:hAnsi="Times New Roman"/>
          <w:b/>
          <w:color w:val="000000"/>
        </w:rPr>
      </w:pPr>
      <w:r>
        <w:rPr>
          <w:rFonts w:hint="eastAsia" w:hAnsi="宋体" w:cs="宋体"/>
          <w:b/>
          <w:color w:val="000000"/>
        </w:rPr>
        <w:t>⑤</w:t>
      </w:r>
      <w:r>
        <w:rPr>
          <w:rFonts w:ascii="Times New Roman" w:hAnsi="Times New Roman"/>
          <w:b/>
          <w:color w:val="000000"/>
        </w:rPr>
        <w:t>风险管理能力。</w:t>
      </w:r>
      <w:r>
        <w:rPr>
          <w:rFonts w:ascii="Times New Roman" w:hAnsi="Times New Roman"/>
          <w:color w:val="000000"/>
        </w:rPr>
        <w:t>能识别各种金融风险，并对金融风险发生的可能性或损失范围、程度进行估计和度量；在此基础上，选择适当衍生金融工具和技术方法控制金融风险。</w:t>
      </w:r>
    </w:p>
    <w:p>
      <w:pPr>
        <w:pStyle w:val="16"/>
        <w:tabs>
          <w:tab w:val="left" w:pos="945"/>
          <w:tab w:val="left" w:pos="2052"/>
        </w:tabs>
        <w:snapToGrid w:val="0"/>
        <w:spacing w:line="360" w:lineRule="auto"/>
        <w:ind w:right="-388" w:rightChars="-185" w:firstLine="413" w:firstLineChars="196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3、实践能力</w:t>
      </w:r>
    </w:p>
    <w:p>
      <w:pPr>
        <w:pStyle w:val="16"/>
        <w:tabs>
          <w:tab w:val="left" w:pos="900"/>
          <w:tab w:val="left" w:pos="1704"/>
        </w:tabs>
        <w:snapToGrid w:val="0"/>
        <w:spacing w:line="360" w:lineRule="auto"/>
        <w:ind w:right="-388" w:rightChars="-185" w:firstLine="422" w:firstLineChars="200"/>
        <w:rPr>
          <w:rFonts w:ascii="Times New Roman" w:hAnsi="Times New Roman"/>
          <w:color w:val="000000"/>
        </w:rPr>
      </w:pPr>
      <w:r>
        <w:rPr>
          <w:rFonts w:hint="eastAsia" w:hAnsi="宋体" w:cs="宋体"/>
          <w:b/>
          <w:color w:val="000000"/>
        </w:rPr>
        <w:t>①</w:t>
      </w:r>
      <w:r>
        <w:rPr>
          <w:rFonts w:ascii="Times New Roman" w:hAnsi="Times New Roman"/>
          <w:b/>
          <w:color w:val="000000"/>
        </w:rPr>
        <w:t>金融市场认知能力。</w:t>
      </w:r>
      <w:r>
        <w:rPr>
          <w:rFonts w:ascii="Times New Roman" w:hAnsi="Times New Roman"/>
          <w:color w:val="000000"/>
        </w:rPr>
        <w:t>具有对经济现象和金融实务的敏感性，具备对商业银行、投资银行、证券公司等金融机构不同岗位的特点、岗位之间关系的把握能力。</w:t>
      </w:r>
    </w:p>
    <w:p>
      <w:pPr>
        <w:pStyle w:val="16"/>
        <w:tabs>
          <w:tab w:val="left" w:pos="900"/>
          <w:tab w:val="left" w:pos="1704"/>
        </w:tabs>
        <w:snapToGrid w:val="0"/>
        <w:spacing w:line="360" w:lineRule="auto"/>
        <w:ind w:right="-388" w:rightChars="-185" w:firstLine="422" w:firstLineChars="200"/>
        <w:rPr>
          <w:rFonts w:ascii="Times New Roman" w:hAnsi="Times New Roman"/>
          <w:color w:val="000000"/>
        </w:rPr>
      </w:pPr>
      <w:r>
        <w:rPr>
          <w:rFonts w:hint="eastAsia" w:hAnsi="宋体" w:cs="宋体"/>
          <w:b/>
          <w:color w:val="000000"/>
        </w:rPr>
        <w:t>②</w:t>
      </w:r>
      <w:r>
        <w:rPr>
          <w:rFonts w:ascii="Times New Roman" w:hAnsi="Times New Roman"/>
          <w:b/>
          <w:color w:val="000000"/>
        </w:rPr>
        <w:t>实际操控能力。</w:t>
      </w:r>
      <w:r>
        <w:rPr>
          <w:rFonts w:ascii="Times New Roman" w:hAnsi="Times New Roman"/>
          <w:color w:val="000000"/>
        </w:rPr>
        <w:t>掌握金融工程理论和业务知识、网络信息技术、市场营销等多种知识技能，具备面向社会开展金融财务管理、投资战略策划、公司理财尤其是金融衍生产品交易等方面的实际操控能力。</w:t>
      </w:r>
    </w:p>
    <w:p>
      <w:pPr>
        <w:pStyle w:val="16"/>
        <w:tabs>
          <w:tab w:val="left" w:pos="624"/>
          <w:tab w:val="left" w:pos="900"/>
          <w:tab w:val="left" w:pos="1704"/>
        </w:tabs>
        <w:snapToGrid w:val="0"/>
        <w:spacing w:line="360" w:lineRule="auto"/>
        <w:ind w:right="-388" w:rightChars="-185" w:firstLine="413" w:firstLineChars="196"/>
        <w:rPr>
          <w:rFonts w:ascii="Times New Roman" w:hAnsi="Times New Roman"/>
          <w:color w:val="000000"/>
        </w:rPr>
      </w:pPr>
      <w:r>
        <w:rPr>
          <w:rFonts w:hint="eastAsia" w:hAnsi="宋体" w:cs="宋体"/>
          <w:b/>
          <w:color w:val="000000"/>
        </w:rPr>
        <w:t>③</w:t>
      </w:r>
      <w:r>
        <w:rPr>
          <w:rFonts w:ascii="Times New Roman" w:hAnsi="Times New Roman"/>
          <w:b/>
          <w:bCs/>
          <w:color w:val="000000"/>
        </w:rPr>
        <w:t>组织协调能力。</w:t>
      </w:r>
      <w:r>
        <w:rPr>
          <w:rFonts w:ascii="Times New Roman" w:hAnsi="Times New Roman"/>
          <w:color w:val="000000"/>
        </w:rPr>
        <w:t>能</w:t>
      </w:r>
      <w:r>
        <w:rPr>
          <w:rFonts w:hint="eastAsia" w:ascii="Times New Roman" w:hAnsi="Times New Roman"/>
          <w:color w:val="000000"/>
        </w:rPr>
        <w:t>够</w:t>
      </w:r>
      <w:r>
        <w:rPr>
          <w:rFonts w:ascii="Times New Roman" w:hAnsi="Times New Roman"/>
          <w:color w:val="000000"/>
        </w:rPr>
        <w:t>快速适应环境，具备团队合作精神，具有一定的人际沟通能力、表达能力、协调指挥能力和冲突处理能力。</w:t>
      </w:r>
    </w:p>
    <w:p>
      <w:pPr>
        <w:pStyle w:val="16"/>
        <w:tabs>
          <w:tab w:val="left" w:pos="945"/>
          <w:tab w:val="left" w:pos="2052"/>
        </w:tabs>
        <w:snapToGrid w:val="0"/>
        <w:spacing w:line="360" w:lineRule="auto"/>
        <w:ind w:right="-388" w:rightChars="-185" w:firstLine="413" w:firstLineChars="196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4、创新精神</w:t>
      </w:r>
    </w:p>
    <w:p>
      <w:pPr>
        <w:pStyle w:val="16"/>
        <w:tabs>
          <w:tab w:val="left" w:pos="624"/>
          <w:tab w:val="left" w:pos="900"/>
          <w:tab w:val="left" w:pos="1704"/>
        </w:tabs>
        <w:snapToGrid w:val="0"/>
        <w:spacing w:line="360" w:lineRule="auto"/>
        <w:ind w:right="-388" w:rightChars="-185" w:firstLine="413" w:firstLineChars="196"/>
        <w:rPr>
          <w:rFonts w:ascii="Times New Roman" w:hAnsi="Times New Roman"/>
          <w:color w:val="000000"/>
        </w:rPr>
      </w:pPr>
      <w:r>
        <w:rPr>
          <w:rFonts w:hint="eastAsia" w:hAnsi="宋体" w:cs="宋体"/>
          <w:b/>
          <w:color w:val="000000"/>
        </w:rPr>
        <w:t>①</w:t>
      </w:r>
      <w:r>
        <w:rPr>
          <w:rFonts w:ascii="Times New Roman" w:hAnsi="Times New Roman"/>
          <w:b/>
          <w:bCs/>
          <w:color w:val="000000"/>
        </w:rPr>
        <w:t>独立思考能力。</w:t>
      </w:r>
      <w:r>
        <w:rPr>
          <w:rFonts w:ascii="Times New Roman" w:hAnsi="Times New Roman"/>
          <w:color w:val="000000"/>
        </w:rPr>
        <w:t>具有辩证的思维、开阔的视野、主动探索的精神和追求创新的欲望，能运用金融工程基本原理与技术，独立地从事金融衍生产品估价、投资组合管理和风险管理等工作。</w:t>
      </w:r>
    </w:p>
    <w:p>
      <w:pPr>
        <w:pStyle w:val="16"/>
        <w:tabs>
          <w:tab w:val="left" w:pos="624"/>
          <w:tab w:val="left" w:pos="900"/>
          <w:tab w:val="left" w:pos="1704"/>
        </w:tabs>
        <w:snapToGrid w:val="0"/>
        <w:spacing w:line="360" w:lineRule="auto"/>
        <w:ind w:right="-388" w:rightChars="-185" w:firstLine="413" w:firstLineChars="196"/>
        <w:rPr>
          <w:rFonts w:ascii="Times New Roman" w:hAnsi="Times New Roman"/>
          <w:color w:val="000000"/>
        </w:rPr>
      </w:pPr>
      <w:r>
        <w:rPr>
          <w:rFonts w:hint="eastAsia" w:hAnsi="宋体" w:cs="宋体"/>
          <w:b/>
          <w:color w:val="000000"/>
        </w:rPr>
        <w:t>②</w:t>
      </w:r>
      <w:r>
        <w:rPr>
          <w:rFonts w:ascii="Times New Roman" w:hAnsi="Times New Roman"/>
          <w:b/>
          <w:bCs/>
          <w:color w:val="000000"/>
        </w:rPr>
        <w:t>批判性思维。</w:t>
      </w:r>
      <w:r>
        <w:rPr>
          <w:rFonts w:ascii="Times New Roman" w:hAnsi="Times New Roman"/>
          <w:color w:val="000000"/>
        </w:rPr>
        <w:t>具备对传统经济学、金融学研究结论提出质疑和挑战的能力，</w:t>
      </w:r>
      <w:r>
        <w:rPr>
          <w:rFonts w:hint="eastAsia" w:ascii="Times New Roman" w:hAnsi="Times New Roman"/>
          <w:color w:val="000000"/>
        </w:rPr>
        <w:t>能</w:t>
      </w:r>
      <w:r>
        <w:rPr>
          <w:rFonts w:ascii="Times New Roman" w:hAnsi="Times New Roman"/>
          <w:color w:val="000000"/>
        </w:rPr>
        <w:t>用创造性、建设性的方式对质疑和挑战提出新解释、做出新判断。</w:t>
      </w:r>
    </w:p>
    <w:p>
      <w:pPr>
        <w:pStyle w:val="16"/>
        <w:tabs>
          <w:tab w:val="left" w:pos="900"/>
          <w:tab w:val="left" w:pos="1704"/>
        </w:tabs>
        <w:snapToGrid w:val="0"/>
        <w:spacing w:line="360" w:lineRule="auto"/>
        <w:ind w:right="-388" w:rightChars="-185" w:firstLine="413" w:firstLineChars="196"/>
        <w:rPr>
          <w:rFonts w:ascii="Times New Roman" w:hAnsi="Times New Roman"/>
          <w:b/>
          <w:bCs/>
          <w:color w:val="000000"/>
        </w:rPr>
      </w:pPr>
      <w:r>
        <w:rPr>
          <w:rFonts w:hint="eastAsia" w:hAnsi="宋体" w:cs="宋体"/>
          <w:b/>
          <w:bCs/>
          <w:color w:val="000000"/>
        </w:rPr>
        <w:t>③</w:t>
      </w:r>
      <w:r>
        <w:rPr>
          <w:rFonts w:ascii="Times New Roman" w:hAnsi="Times New Roman"/>
          <w:b/>
          <w:bCs/>
          <w:color w:val="000000"/>
        </w:rPr>
        <w:t>金融产品及交易策略设计能力。</w:t>
      </w:r>
      <w:r>
        <w:rPr>
          <w:rFonts w:ascii="Times New Roman" w:hAnsi="Times New Roman"/>
          <w:color w:val="000000"/>
        </w:rPr>
        <w:t>掌握金融衍生产品和工具理论前沿，具有在交叉领域开发金融衍生产品、创新金融风险管理方法、设计新型交易策略的能力。</w:t>
      </w:r>
    </w:p>
    <w:p>
      <w:pPr>
        <w:pStyle w:val="16"/>
        <w:tabs>
          <w:tab w:val="left" w:pos="945"/>
          <w:tab w:val="left" w:pos="2052"/>
        </w:tabs>
        <w:snapToGrid w:val="0"/>
        <w:spacing w:line="360" w:lineRule="auto"/>
        <w:ind w:right="-388" w:rightChars="-185" w:firstLine="413" w:firstLineChars="196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5、国际视野</w:t>
      </w:r>
    </w:p>
    <w:p>
      <w:pPr>
        <w:pStyle w:val="16"/>
        <w:tabs>
          <w:tab w:val="left" w:pos="900"/>
          <w:tab w:val="left" w:pos="1704"/>
        </w:tabs>
        <w:snapToGrid w:val="0"/>
        <w:spacing w:line="360" w:lineRule="auto"/>
        <w:ind w:right="-388" w:rightChars="-185" w:firstLine="413" w:firstLineChars="196"/>
        <w:rPr>
          <w:rFonts w:ascii="Times New Roman" w:hAnsi="Times New Roman"/>
        </w:rPr>
      </w:pPr>
      <w:r>
        <w:rPr>
          <w:rFonts w:hint="eastAsia" w:hAnsi="宋体" w:cs="宋体"/>
          <w:b/>
          <w:color w:val="000000"/>
        </w:rPr>
        <w:t>①</w:t>
      </w:r>
      <w:r>
        <w:rPr>
          <w:rFonts w:ascii="Times New Roman" w:hAnsi="Times New Roman"/>
          <w:b/>
          <w:bCs/>
          <w:color w:val="000000"/>
        </w:rPr>
        <w:t>国际化思维。</w:t>
      </w:r>
      <w:r>
        <w:rPr>
          <w:rFonts w:ascii="Times New Roman" w:hAnsi="Times New Roman"/>
          <w:bCs/>
        </w:rPr>
        <w:t>熟知</w:t>
      </w:r>
      <w:r>
        <w:rPr>
          <w:rFonts w:ascii="Times New Roman" w:hAnsi="Times New Roman"/>
        </w:rPr>
        <w:t>国际社会公共价值规则，包容世界各国不同文化，掌握国际金融、国际经济、国际政治等相关知识，具有全球战略眼光和国际思维习惯。</w:t>
      </w:r>
    </w:p>
    <w:p>
      <w:pPr>
        <w:pStyle w:val="16"/>
        <w:tabs>
          <w:tab w:val="left" w:pos="900"/>
          <w:tab w:val="left" w:pos="1704"/>
        </w:tabs>
        <w:snapToGrid w:val="0"/>
        <w:spacing w:line="360" w:lineRule="auto"/>
        <w:ind w:right="-388" w:rightChars="-185" w:firstLine="413" w:firstLineChars="196"/>
        <w:rPr>
          <w:rFonts w:ascii="Times New Roman" w:hAnsi="Times New Roman"/>
          <w:color w:val="000000"/>
        </w:rPr>
      </w:pPr>
      <w:r>
        <w:rPr>
          <w:rFonts w:hint="eastAsia" w:hAnsi="宋体" w:cs="宋体"/>
          <w:b/>
          <w:color w:val="000000"/>
        </w:rPr>
        <w:t>②</w:t>
      </w:r>
      <w:r>
        <w:rPr>
          <w:rFonts w:ascii="Times New Roman" w:hAnsi="Times New Roman"/>
          <w:b/>
          <w:bCs/>
          <w:color w:val="000000"/>
        </w:rPr>
        <w:t>国际交流能力。</w:t>
      </w:r>
      <w:r>
        <w:rPr>
          <w:rFonts w:ascii="Times New Roman" w:hAnsi="Times New Roman"/>
          <w:bCs/>
          <w:color w:val="000000"/>
        </w:rPr>
        <w:t>具有</w:t>
      </w:r>
      <w:r>
        <w:rPr>
          <w:rFonts w:ascii="Times New Roman" w:hAnsi="Times New Roman"/>
          <w:color w:val="000000"/>
        </w:rPr>
        <w:t>较好的外语应用能力，能与来自不同文化背景的人进行良好的信息与情感交流，并达成对彼此的理解和信任。</w:t>
      </w:r>
    </w:p>
    <w:p>
      <w:pPr>
        <w:pStyle w:val="16"/>
        <w:tabs>
          <w:tab w:val="left" w:pos="900"/>
          <w:tab w:val="left" w:pos="1704"/>
        </w:tabs>
        <w:snapToGrid w:val="0"/>
        <w:spacing w:line="360" w:lineRule="auto"/>
        <w:ind w:right="-388" w:rightChars="-185" w:firstLine="413" w:firstLineChars="196"/>
        <w:rPr>
          <w:rFonts w:ascii="Times New Roman" w:hAnsi="Times New Roman"/>
          <w:b/>
          <w:bCs/>
          <w:color w:val="000000"/>
        </w:rPr>
      </w:pPr>
      <w:r>
        <w:rPr>
          <w:rFonts w:hint="eastAsia" w:hAnsi="宋体" w:cs="宋体"/>
          <w:b/>
          <w:color w:val="000000"/>
        </w:rPr>
        <w:t>③</w:t>
      </w:r>
      <w:r>
        <w:rPr>
          <w:rFonts w:ascii="Times New Roman" w:hAnsi="Times New Roman"/>
          <w:b/>
          <w:bCs/>
          <w:color w:val="000000"/>
        </w:rPr>
        <w:t>国际协作能力。</w:t>
      </w:r>
      <w:r>
        <w:rPr>
          <w:rFonts w:ascii="Times New Roman" w:hAnsi="Times New Roman"/>
          <w:color w:val="000000"/>
        </w:rPr>
        <w:t>熟悉相关国家市场特点、经营环境和文化观念，具备协商解决国际争议与冲突的能力，具有国际合作决策、组织、协调和执行能力。</w:t>
      </w:r>
    </w:p>
    <w:p>
      <w:pPr>
        <w:pStyle w:val="57"/>
        <w:snapToGrid w:val="0"/>
        <w:spacing w:line="360" w:lineRule="auto"/>
        <w:ind w:left="432" w:right="-388" w:rightChars="-185" w:firstLine="0" w:firstLineChars="0"/>
        <w:jc w:val="left"/>
        <w:rPr>
          <w:rFonts w:ascii="Times New Roman" w:hAnsi="Times New Roman" w:eastAsia="黑体"/>
          <w:b/>
          <w:sz w:val="24"/>
          <w:szCs w:val="24"/>
        </w:rPr>
      </w:pPr>
      <w:r>
        <w:rPr>
          <w:rFonts w:ascii="Times New Roman" w:hAnsi="Times New Roman" w:eastAsia="黑体"/>
          <w:b/>
          <w:sz w:val="24"/>
          <w:szCs w:val="24"/>
        </w:rPr>
        <w:t>三、毕业学分要求</w:t>
      </w:r>
    </w:p>
    <w:p>
      <w:pPr>
        <w:pStyle w:val="57"/>
        <w:snapToGrid w:val="0"/>
        <w:spacing w:line="360" w:lineRule="auto"/>
        <w:jc w:val="left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1、毕业最低要求161学分，学分构成参见如下表。</w:t>
      </w:r>
    </w:p>
    <w:tbl>
      <w:tblPr>
        <w:tblStyle w:val="43"/>
        <w:tblpPr w:leftFromText="180" w:rightFromText="180" w:vertAnchor="text" w:horzAnchor="page" w:tblpX="1449" w:tblpY="74"/>
        <w:tblOverlap w:val="never"/>
        <w:tblW w:w="90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5"/>
        <w:gridCol w:w="495"/>
        <w:gridCol w:w="375"/>
        <w:gridCol w:w="1050"/>
        <w:gridCol w:w="613"/>
        <w:gridCol w:w="613"/>
        <w:gridCol w:w="613"/>
        <w:gridCol w:w="613"/>
        <w:gridCol w:w="613"/>
        <w:gridCol w:w="613"/>
        <w:gridCol w:w="613"/>
        <w:gridCol w:w="614"/>
        <w:gridCol w:w="765"/>
        <w:gridCol w:w="9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类别</w:t>
            </w: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课类          学期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百分比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</w:t>
            </w:r>
          </w:p>
        </w:tc>
        <w:tc>
          <w:tcPr>
            <w:tcW w:w="4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课堂教学</w:t>
            </w:r>
          </w:p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必修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普通共同课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24.22%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学科共同课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26.09%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专业核心课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11.18%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选修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专业选修课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16.77%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通识选修课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任意选修课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2.48%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实践教学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29.5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100.00%</w:t>
            </w:r>
          </w:p>
        </w:tc>
      </w:tr>
    </w:tbl>
    <w:p>
      <w:pPr>
        <w:snapToGrid w:val="0"/>
        <w:spacing w:line="360" w:lineRule="auto"/>
        <w:ind w:left="624"/>
        <w:rPr>
          <w:kern w:val="0"/>
          <w:szCs w:val="21"/>
        </w:rPr>
      </w:pPr>
    </w:p>
    <w:tbl>
      <w:tblPr>
        <w:tblStyle w:val="43"/>
        <w:tblpPr w:leftFromText="180" w:rightFromText="180" w:vertAnchor="text" w:horzAnchor="page" w:tblpX="1449" w:tblpY="74"/>
        <w:tblOverlap w:val="never"/>
        <w:tblW w:w="90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5"/>
        <w:gridCol w:w="495"/>
        <w:gridCol w:w="375"/>
        <w:gridCol w:w="1050"/>
        <w:gridCol w:w="613"/>
        <w:gridCol w:w="613"/>
        <w:gridCol w:w="613"/>
        <w:gridCol w:w="613"/>
        <w:gridCol w:w="613"/>
        <w:gridCol w:w="613"/>
        <w:gridCol w:w="613"/>
        <w:gridCol w:w="614"/>
        <w:gridCol w:w="765"/>
        <w:gridCol w:w="9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类别</w:t>
            </w: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课类          学期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百分比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</w:t>
            </w:r>
          </w:p>
        </w:tc>
        <w:tc>
          <w:tcPr>
            <w:tcW w:w="4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课堂教学</w:t>
            </w:r>
          </w:p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必修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普通共同课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22.29%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学科共同课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24.01%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专业核心课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10.29%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选修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专业选修课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14.47%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通识选修课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任意选修课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2.14%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实践教学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20.36%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474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100.00%</w:t>
            </w:r>
          </w:p>
        </w:tc>
      </w:tr>
    </w:tbl>
    <w:p>
      <w:pPr>
        <w:pStyle w:val="122"/>
        <w:snapToGrid w:val="0"/>
        <w:spacing w:line="360" w:lineRule="auto"/>
        <w:ind w:firstLine="412" w:firstLineChars="196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2、通识选修12学分中，要求“自然∙工程∙技术”模块至少4学分。</w:t>
      </w:r>
    </w:p>
    <w:p>
      <w:pPr>
        <w:pStyle w:val="57"/>
        <w:snapToGrid w:val="0"/>
        <w:spacing w:line="360" w:lineRule="auto"/>
        <w:ind w:firstLine="472" w:firstLineChars="196"/>
        <w:jc w:val="left"/>
        <w:rPr>
          <w:rFonts w:ascii="Times New Roman" w:hAnsi="Times New Roman" w:eastAsia="黑体"/>
          <w:b/>
          <w:sz w:val="24"/>
          <w:szCs w:val="24"/>
        </w:rPr>
      </w:pPr>
      <w:r>
        <w:rPr>
          <w:rFonts w:ascii="Times New Roman" w:hAnsi="Times New Roman" w:eastAsia="黑体"/>
          <w:b/>
          <w:sz w:val="24"/>
          <w:szCs w:val="24"/>
        </w:rPr>
        <w:t>四、修业年限与授予学位</w:t>
      </w:r>
    </w:p>
    <w:p>
      <w:pPr>
        <w:pStyle w:val="57"/>
        <w:snapToGrid w:val="0"/>
        <w:spacing w:line="360" w:lineRule="auto"/>
        <w:ind w:firstLine="412" w:firstLineChars="196"/>
        <w:jc w:val="left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基本学制四年，弹性学制3-6年，符合条件的学生授予经济学学士学位。</w:t>
      </w:r>
    </w:p>
    <w:p>
      <w:pPr>
        <w:pStyle w:val="57"/>
        <w:snapToGrid w:val="0"/>
        <w:spacing w:line="360" w:lineRule="auto"/>
        <w:ind w:firstLine="482"/>
        <w:jc w:val="left"/>
        <w:rPr>
          <w:rFonts w:ascii="Times New Roman" w:hAnsi="Times New Roman" w:eastAsia="黑体"/>
          <w:b/>
          <w:sz w:val="24"/>
          <w:szCs w:val="24"/>
        </w:rPr>
      </w:pPr>
      <w:r>
        <w:rPr>
          <w:rFonts w:ascii="Times New Roman" w:hAnsi="Times New Roman" w:eastAsia="黑体"/>
          <w:b/>
          <w:sz w:val="24"/>
          <w:szCs w:val="24"/>
        </w:rPr>
        <w:t>五、专业核心课程</w:t>
      </w:r>
    </w:p>
    <w:p>
      <w:pPr>
        <w:pStyle w:val="57"/>
        <w:snapToGrid w:val="0"/>
        <w:spacing w:line="360" w:lineRule="auto"/>
        <w:jc w:val="left"/>
        <w:rPr>
          <w:rFonts w:ascii="Times New Roman" w:hAnsi="Times New Roman" w:eastAsia="黑体"/>
          <w:b/>
          <w:szCs w:val="21"/>
        </w:rPr>
      </w:pPr>
      <w:r>
        <w:rPr>
          <w:rFonts w:ascii="Times New Roman" w:hAnsi="Times New Roman"/>
          <w:color w:val="000000"/>
          <w:szCs w:val="21"/>
        </w:rPr>
        <w:t>微观经济学、宏观经济学、货币银行学、国际经济学（国际贸易）、国际金融学、国民经济统计学、金融工程学、证券投资学、金融经济学、公司金融、金融随机过程、固定收益证券、商业银行经营学、金融风险管理、投资银行学等。</w:t>
      </w:r>
    </w:p>
    <w:p>
      <w:pPr>
        <w:pStyle w:val="57"/>
        <w:snapToGrid w:val="0"/>
        <w:spacing w:line="360" w:lineRule="auto"/>
        <w:ind w:firstLine="482"/>
        <w:jc w:val="left"/>
        <w:rPr>
          <w:rFonts w:ascii="Times New Roman" w:hAnsi="Times New Roman" w:eastAsia="黑体"/>
          <w:b/>
          <w:sz w:val="24"/>
          <w:szCs w:val="24"/>
        </w:rPr>
      </w:pPr>
      <w:r>
        <w:rPr>
          <w:rFonts w:ascii="Times New Roman" w:hAnsi="Times New Roman" w:eastAsia="黑体"/>
          <w:b/>
          <w:sz w:val="24"/>
          <w:szCs w:val="24"/>
        </w:rPr>
        <w:t>六、主要实践性教学环节</w:t>
      </w:r>
    </w:p>
    <w:p>
      <w:pPr>
        <w:pStyle w:val="122"/>
        <w:snapToGrid w:val="0"/>
        <w:spacing w:line="360" w:lineRule="auto"/>
        <w:ind w:firstLine="525" w:firstLineChars="250"/>
        <w:jc w:val="left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1、毕业实习：10周，5学分，第7-8学期；</w:t>
      </w:r>
    </w:p>
    <w:p>
      <w:pPr>
        <w:pStyle w:val="122"/>
        <w:snapToGrid w:val="0"/>
        <w:spacing w:line="360" w:lineRule="auto"/>
        <w:ind w:firstLine="525" w:firstLineChars="250"/>
        <w:jc w:val="left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2、毕业论文（设计）：9周，6学分，第7-8学期；</w:t>
      </w:r>
    </w:p>
    <w:p>
      <w:pPr>
        <w:pStyle w:val="122"/>
        <w:snapToGrid w:val="0"/>
        <w:spacing w:line="360" w:lineRule="auto"/>
        <w:ind w:firstLine="525" w:firstLineChars="250"/>
        <w:jc w:val="left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3、实践：</w:t>
      </w:r>
      <w:r>
        <w:rPr>
          <w:rFonts w:hint="eastAsia" w:ascii="宋体" w:hAnsi="宋体" w:cs="宋体"/>
          <w:kern w:val="0"/>
          <w:szCs w:val="21"/>
        </w:rPr>
        <w:t>①</w:t>
      </w:r>
      <w:r>
        <w:rPr>
          <w:rFonts w:ascii="Times New Roman" w:hAnsi="Times New Roman"/>
          <w:kern w:val="0"/>
          <w:szCs w:val="21"/>
        </w:rPr>
        <w:t>实践1：军训，2周，1学分，第1学期（不安排在实践周）；</w:t>
      </w:r>
    </w:p>
    <w:p>
      <w:pPr>
        <w:pStyle w:val="122"/>
        <w:snapToGrid w:val="0"/>
        <w:spacing w:line="360" w:lineRule="auto"/>
        <w:ind w:firstLine="525" w:firstLineChars="250"/>
        <w:jc w:val="left"/>
        <w:rPr>
          <w:rFonts w:ascii="Times New Roman" w:hAnsi="Times New Roman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 xml:space="preserve">         </w:t>
      </w:r>
      <w:r>
        <w:rPr>
          <w:rFonts w:hint="eastAsia" w:ascii="宋体" w:hAnsi="宋体" w:cs="宋体"/>
          <w:kern w:val="0"/>
          <w:szCs w:val="21"/>
        </w:rPr>
        <w:t>②</w:t>
      </w:r>
      <w:r>
        <w:rPr>
          <w:rFonts w:ascii="Times New Roman" w:hAnsi="Times New Roman"/>
          <w:kern w:val="0"/>
          <w:szCs w:val="21"/>
        </w:rPr>
        <w:t>实践2：社会调查，2周，1学分，第3学期（不安排在实践周）；</w:t>
      </w:r>
    </w:p>
    <w:p>
      <w:pPr>
        <w:pStyle w:val="122"/>
        <w:snapToGrid w:val="0"/>
        <w:spacing w:line="360" w:lineRule="auto"/>
        <w:ind w:firstLine="525" w:firstLineChars="250"/>
        <w:jc w:val="left"/>
        <w:rPr>
          <w:rFonts w:ascii="Times New Roman" w:hAnsi="Times New Roman"/>
          <w:kern w:val="0"/>
          <w:szCs w:val="21"/>
        </w:rPr>
        <w:sectPr>
          <w:pgSz w:w="11906" w:h="16838"/>
          <w:pgMar w:top="1418" w:right="1418" w:bottom="1418" w:left="1418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cs="宋体"/>
          <w:kern w:val="0"/>
          <w:szCs w:val="21"/>
          <w:lang w:val="en-US" w:eastAsia="zh-CN"/>
        </w:rPr>
        <w:t xml:space="preserve">         </w:t>
      </w:r>
      <w:r>
        <w:rPr>
          <w:rFonts w:hint="eastAsia" w:ascii="宋体" w:hAnsi="宋体" w:cs="宋体"/>
          <w:kern w:val="0"/>
          <w:szCs w:val="21"/>
        </w:rPr>
        <w:t>③</w:t>
      </w:r>
      <w:r>
        <w:rPr>
          <w:rFonts w:ascii="Times New Roman" w:hAnsi="Times New Roman"/>
          <w:kern w:val="0"/>
          <w:szCs w:val="21"/>
        </w:rPr>
        <w:t>实践3：专业文献检索与综述，1周，1学分，第5学期（安排在实践周）。</w:t>
      </w:r>
    </w:p>
    <w:p>
      <w:pPr>
        <w:pStyle w:val="57"/>
        <w:snapToGrid w:val="0"/>
        <w:spacing w:before="120" w:beforeLines="50" w:after="120" w:afterLines="50" w:line="300" w:lineRule="auto"/>
        <w:ind w:left="480" w:firstLine="0" w:firstLineChars="0"/>
        <w:jc w:val="left"/>
        <w:rPr>
          <w:rFonts w:ascii="Times New Roman" w:hAnsi="Times New Roman" w:eastAsia="黑体"/>
          <w:b/>
          <w:sz w:val="24"/>
          <w:szCs w:val="24"/>
        </w:rPr>
      </w:pPr>
      <w:r>
        <w:rPr>
          <w:rFonts w:ascii="Times New Roman" w:hAnsi="Times New Roman" w:eastAsia="黑体"/>
          <w:b/>
          <w:sz w:val="24"/>
          <w:szCs w:val="24"/>
        </w:rPr>
        <w:t>七、课程与毕业生能力要求的对应关系</w:t>
      </w:r>
    </w:p>
    <w:tbl>
      <w:tblPr>
        <w:tblStyle w:val="43"/>
        <w:tblW w:w="17349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0"/>
        <w:gridCol w:w="2503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25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课程名程</w:t>
            </w:r>
          </w:p>
        </w:tc>
        <w:tc>
          <w:tcPr>
            <w:tcW w:w="11016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  金融工程    </w:t>
            </w: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专业毕业生能力要求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④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⑤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金融工程</w:t>
            </w:r>
            <w:r>
              <w:rPr>
                <w:rFonts w:hint="eastAsia"/>
                <w:sz w:val="18"/>
                <w:szCs w:val="18"/>
              </w:rPr>
              <w:t>学</w:t>
            </w:r>
            <w:r>
              <w:rPr>
                <w:sz w:val="18"/>
                <w:szCs w:val="18"/>
              </w:rPr>
              <w:t>专业导论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大学英语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高级英语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计算机文化基础(理)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马克思主义基本原理概论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75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思想道德修养与法律基础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C语言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体育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国际经济学（国际贸易）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中国近现代史纲要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财政学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大学语文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概率论与数理统计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国际金融学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国民经济统计</w:t>
            </w:r>
            <w:r>
              <w:rPr>
                <w:rFonts w:hint="eastAsia"/>
                <w:kern w:val="0"/>
                <w:sz w:val="18"/>
                <w:szCs w:val="18"/>
              </w:rPr>
              <w:t>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微积分（上、下）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线性代数</w:t>
            </w:r>
            <w:r>
              <w:rPr>
                <w:rFonts w:hint="eastAsia"/>
                <w:sz w:val="18"/>
                <w:szCs w:val="18"/>
              </w:rPr>
              <w:t>（文）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微观经济学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520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宏观经济学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政治经济学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25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课程名程</w:t>
            </w:r>
          </w:p>
        </w:tc>
        <w:tc>
          <w:tcPr>
            <w:tcW w:w="11016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  金融工程    </w:t>
            </w: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专业毕业生能力要求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④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⑤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货币银行学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会计学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公司金融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金融工程学(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Ⅰ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计量经济学(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Ⅰ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金融经济学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75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  <w:lang w:eastAsia="zh-CN"/>
              </w:rPr>
              <w:t>金融</w:t>
            </w:r>
            <w:r>
              <w:rPr>
                <w:kern w:val="0"/>
                <w:sz w:val="18"/>
                <w:szCs w:val="18"/>
              </w:rPr>
              <w:t>随机过程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证券投资学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多元统计分析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计量经济学（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Ⅱ</w:t>
            </w:r>
            <w:r>
              <w:rPr>
                <w:color w:val="000000"/>
                <w:sz w:val="18"/>
                <w:szCs w:val="18"/>
              </w:rPr>
              <w:t>）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金融模拟与实验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个人金融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固定收益证券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金融技术分析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保险精算学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金融风险管理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金融监管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互联网金融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金融数据挖掘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490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网络安全与支付结算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电子商务概论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</w:tbl>
    <w:p>
      <w:pPr>
        <w:pStyle w:val="57"/>
        <w:snapToGrid w:val="0"/>
        <w:spacing w:before="120" w:beforeLines="50" w:after="120" w:afterLines="50" w:line="300" w:lineRule="auto"/>
        <w:ind w:left="480" w:firstLine="0" w:firstLineChars="0"/>
        <w:jc w:val="left"/>
        <w:rPr>
          <w:rFonts w:ascii="Times New Roman" w:hAnsi="Times New Roman" w:eastAsia="黑体"/>
          <w:b/>
          <w:sz w:val="24"/>
          <w:szCs w:val="24"/>
        </w:rPr>
      </w:pPr>
    </w:p>
    <w:p>
      <w:pPr>
        <w:pStyle w:val="57"/>
        <w:snapToGrid w:val="0"/>
        <w:spacing w:before="120" w:beforeLines="50" w:after="120" w:afterLines="50" w:line="300" w:lineRule="auto"/>
        <w:ind w:left="480" w:firstLine="0" w:firstLineChars="0"/>
        <w:jc w:val="left"/>
        <w:rPr>
          <w:rFonts w:ascii="Times New Roman" w:hAnsi="Times New Roman" w:eastAsia="黑体"/>
          <w:b/>
          <w:sz w:val="24"/>
          <w:szCs w:val="24"/>
        </w:rPr>
      </w:pPr>
    </w:p>
    <w:tbl>
      <w:tblPr>
        <w:tblStyle w:val="43"/>
        <w:tblW w:w="14109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0"/>
        <w:gridCol w:w="2503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25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课程名程</w:t>
            </w:r>
          </w:p>
        </w:tc>
        <w:tc>
          <w:tcPr>
            <w:tcW w:w="11016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  金融工程    </w:t>
            </w: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专业毕业生能力要求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④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⑤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EXCEL在金融中的应用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MATLAB在金融中的应用(英)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SAS在金融中的应用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R语言在金融中的应用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金融实务专题（I)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金融实务专题（II)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金融工程学（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Ⅱ</w:t>
            </w:r>
            <w:r>
              <w:rPr>
                <w:color w:val="000000"/>
                <w:sz w:val="18"/>
                <w:szCs w:val="18"/>
              </w:rPr>
              <w:t>）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财务报告分析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高级财务会计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高级英语口语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考研英语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保险学原理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房地产金融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行为金融学专题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金融市场微观结构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投资银行学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国际结算(英)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金融营销学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金融证书英语(英)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商业银行经营学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项目评估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</w:tbl>
    <w:p>
      <w:pPr>
        <w:pStyle w:val="57"/>
        <w:snapToGrid w:val="0"/>
        <w:spacing w:before="120" w:beforeLines="50" w:after="120" w:afterLines="50" w:line="300" w:lineRule="auto"/>
        <w:ind w:left="480" w:firstLine="0" w:firstLineChars="0"/>
        <w:jc w:val="left"/>
        <w:rPr>
          <w:rFonts w:ascii="Times New Roman" w:hAnsi="Times New Roman" w:eastAsia="黑体"/>
          <w:b/>
          <w:sz w:val="24"/>
          <w:szCs w:val="24"/>
        </w:rPr>
      </w:pPr>
    </w:p>
    <w:p>
      <w:pPr>
        <w:pStyle w:val="57"/>
        <w:snapToGrid w:val="0"/>
        <w:spacing w:before="120" w:beforeLines="50" w:after="120" w:afterLines="50" w:line="300" w:lineRule="auto"/>
        <w:ind w:left="480" w:firstLine="0" w:firstLineChars="0"/>
        <w:jc w:val="left"/>
        <w:rPr>
          <w:rFonts w:ascii="Times New Roman" w:hAnsi="Times New Roman" w:eastAsia="黑体"/>
          <w:b/>
          <w:sz w:val="24"/>
          <w:szCs w:val="24"/>
        </w:rPr>
      </w:pPr>
    </w:p>
    <w:tbl>
      <w:tblPr>
        <w:tblStyle w:val="43"/>
        <w:tblW w:w="14109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0"/>
        <w:gridCol w:w="2503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25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课程名程</w:t>
            </w:r>
          </w:p>
        </w:tc>
        <w:tc>
          <w:tcPr>
            <w:tcW w:w="11016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  金融工程    </w:t>
            </w: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专业毕业生能力要求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④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⑤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管理学原理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管理运筹学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经济博弈论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经济法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当代世界经济与政治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军事理论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军训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大学生心理健康教育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大学生职业生涯与发展规划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社会调查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思想政治理论课实践教学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专业文献检索与综述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形势与政策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大学生就业与创业指导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创新与创业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素质拓展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80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资产</w:t>
            </w:r>
            <w:r>
              <w:rPr>
                <w:rFonts w:hint="eastAsia"/>
                <w:sz w:val="18"/>
                <w:szCs w:val="18"/>
              </w:rPr>
              <w:t>估价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81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金融会计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82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毕业实习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83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毕业论文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84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</w:tbl>
    <w:p>
      <w:pPr>
        <w:pStyle w:val="57"/>
        <w:snapToGrid w:val="0"/>
        <w:spacing w:before="120" w:beforeLines="50" w:after="120" w:afterLines="50" w:line="300" w:lineRule="auto"/>
        <w:ind w:left="480" w:firstLine="0" w:firstLineChars="0"/>
        <w:jc w:val="left"/>
        <w:rPr>
          <w:rFonts w:hint="eastAsia" w:ascii="Times New Roman" w:hAnsi="Times New Roman" w:eastAsia="黑体"/>
          <w:b/>
          <w:sz w:val="24"/>
          <w:szCs w:val="24"/>
        </w:rPr>
      </w:pPr>
    </w:p>
    <w:p>
      <w:pPr>
        <w:pStyle w:val="57"/>
        <w:snapToGrid w:val="0"/>
        <w:spacing w:before="120" w:beforeLines="50" w:after="120" w:afterLines="50" w:line="300" w:lineRule="auto"/>
        <w:ind w:left="480" w:firstLine="0" w:firstLineChars="0"/>
        <w:jc w:val="left"/>
        <w:rPr>
          <w:rFonts w:ascii="Times New Roman" w:hAnsi="Times New Roman" w:eastAsia="黑体"/>
          <w:b/>
          <w:sz w:val="24"/>
          <w:szCs w:val="24"/>
        </w:rPr>
      </w:pPr>
    </w:p>
    <w:p>
      <w:pPr>
        <w:pStyle w:val="57"/>
        <w:snapToGrid w:val="0"/>
        <w:spacing w:before="120" w:beforeLines="50" w:after="120" w:afterLines="50" w:line="300" w:lineRule="auto"/>
        <w:ind w:left="480" w:firstLine="0" w:firstLineChars="0"/>
        <w:jc w:val="left"/>
        <w:rPr>
          <w:rFonts w:ascii="Times New Roman" w:hAnsi="Times New Roman" w:eastAsia="黑体"/>
          <w:b/>
          <w:sz w:val="24"/>
          <w:szCs w:val="24"/>
        </w:rPr>
      </w:pPr>
    </w:p>
    <w:p>
      <w:pPr>
        <w:pStyle w:val="57"/>
        <w:snapToGrid w:val="0"/>
        <w:spacing w:before="120" w:beforeLines="50" w:after="120" w:afterLines="50" w:line="300" w:lineRule="auto"/>
        <w:ind w:left="480" w:firstLine="0" w:firstLineChars="0"/>
        <w:jc w:val="left"/>
        <w:rPr>
          <w:rFonts w:ascii="Times New Roman" w:hAnsi="Times New Roman" w:eastAsia="黑体"/>
          <w:b/>
          <w:sz w:val="24"/>
          <w:szCs w:val="24"/>
        </w:rPr>
      </w:pPr>
      <w:r>
        <w:rPr>
          <w:rFonts w:ascii="Times New Roman" w:hAnsi="Times New Roman" w:eastAsia="黑体"/>
          <w:b/>
          <w:sz w:val="24"/>
          <w:szCs w:val="24"/>
        </w:rPr>
        <w:t>八、课程修读说明</w:t>
      </w:r>
    </w:p>
    <w:p>
      <w:pPr>
        <w:pStyle w:val="57"/>
        <w:snapToGrid w:val="0"/>
        <w:spacing w:before="120" w:beforeLines="50" w:after="120" w:afterLines="50" w:line="300" w:lineRule="auto"/>
        <w:ind w:firstLine="0" w:firstLineChars="0"/>
        <w:jc w:val="left"/>
      </w:pPr>
      <w:r>
        <w:drawing>
          <wp:inline distT="0" distB="0" distL="114300" distR="114300">
            <wp:extent cx="9170035" cy="5293360"/>
            <wp:effectExtent l="0" t="0" r="1206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70035" cy="52933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7"/>
        <w:snapToGrid w:val="0"/>
        <w:spacing w:before="120" w:beforeLines="50" w:after="120" w:afterLines="50" w:line="300" w:lineRule="auto"/>
        <w:ind w:firstLine="0" w:firstLineChars="0"/>
        <w:jc w:val="left"/>
        <w:sectPr>
          <w:footerReference r:id="rId3" w:type="default"/>
          <w:type w:val="continuous"/>
          <w:pgSz w:w="16838" w:h="11906" w:orient="landscape"/>
          <w:pgMar w:top="1123" w:right="1440" w:bottom="1123" w:left="1440" w:header="851" w:footer="992" w:gutter="0"/>
          <w:cols w:space="720" w:num="1"/>
          <w:docGrid w:linePitch="312" w:charSpace="0"/>
        </w:sectPr>
      </w:pPr>
    </w:p>
    <w:p>
      <w:pPr>
        <w:pStyle w:val="123"/>
        <w:snapToGrid w:val="0"/>
        <w:spacing w:before="120" w:beforeLines="50" w:after="120" w:afterLines="50" w:line="300" w:lineRule="auto"/>
        <w:ind w:left="480" w:firstLine="0" w:firstLineChars="0"/>
        <w:jc w:val="left"/>
      </w:pPr>
      <w:r>
        <w:rPr>
          <w:rFonts w:ascii="Times New Roman" w:hAnsi="Times New Roman" w:eastAsia="黑体"/>
          <w:b/>
          <w:sz w:val="24"/>
          <w:szCs w:val="24"/>
        </w:rPr>
        <w:t>九、</w:t>
      </w:r>
      <w:r>
        <w:rPr>
          <w:rFonts w:hint="eastAsia" w:ascii="Times New Roman" w:hAnsi="Times New Roman" w:eastAsia="黑体"/>
          <w:b/>
          <w:sz w:val="24"/>
          <w:szCs w:val="24"/>
        </w:rPr>
        <w:t>专业教学计划进程</w:t>
      </w:r>
      <w:r>
        <w:rPr>
          <w:rFonts w:ascii="Times New Roman" w:hAnsi="Times New Roman" w:eastAsia="黑体"/>
          <w:b/>
          <w:sz w:val="24"/>
          <w:szCs w:val="24"/>
        </w:rPr>
        <w:t>表</w:t>
      </w:r>
    </w:p>
    <w:tbl>
      <w:tblPr>
        <w:tblStyle w:val="43"/>
        <w:tblW w:w="9475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0"/>
        <w:gridCol w:w="429"/>
        <w:gridCol w:w="428"/>
        <w:gridCol w:w="428"/>
        <w:gridCol w:w="1151"/>
        <w:gridCol w:w="2372"/>
        <w:gridCol w:w="574"/>
        <w:gridCol w:w="633"/>
        <w:gridCol w:w="633"/>
        <w:gridCol w:w="633"/>
        <w:gridCol w:w="633"/>
        <w:gridCol w:w="428"/>
        <w:gridCol w:w="360"/>
        <w:gridCol w:w="34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1715" w:type="dxa"/>
            <w:gridSpan w:val="4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课程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类别</w:t>
            </w:r>
          </w:p>
        </w:tc>
        <w:tc>
          <w:tcPr>
            <w:tcW w:w="1151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课程号</w:t>
            </w:r>
          </w:p>
        </w:tc>
        <w:tc>
          <w:tcPr>
            <w:tcW w:w="2372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课程名称</w:t>
            </w:r>
          </w:p>
        </w:tc>
        <w:tc>
          <w:tcPr>
            <w:tcW w:w="574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开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课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学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Cs w:val="18"/>
              </w:rPr>
              <w:t>期</w:t>
            </w:r>
          </w:p>
        </w:tc>
        <w:tc>
          <w:tcPr>
            <w:tcW w:w="633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学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分</w:t>
            </w:r>
          </w:p>
        </w:tc>
        <w:tc>
          <w:tcPr>
            <w:tcW w:w="1899" w:type="dxa"/>
            <w:gridSpan w:val="3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学时分配表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周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学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时</w:t>
            </w:r>
          </w:p>
        </w:tc>
        <w:tc>
          <w:tcPr>
            <w:tcW w:w="360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辅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修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课</w:t>
            </w:r>
          </w:p>
        </w:tc>
        <w:tc>
          <w:tcPr>
            <w:tcW w:w="343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二专业课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1715" w:type="dxa"/>
            <w:gridSpan w:val="4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72" w:type="dxa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</w:p>
        </w:tc>
        <w:tc>
          <w:tcPr>
            <w:tcW w:w="574" w:type="dxa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bottom w:val="single" w:color="auto" w:sz="12" w:space="0"/>
            </w:tcBorders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理论</w:t>
            </w:r>
          </w:p>
        </w:tc>
        <w:tc>
          <w:tcPr>
            <w:tcW w:w="633" w:type="dxa"/>
            <w:tcBorders>
              <w:bottom w:val="single" w:color="auto" w:sz="12" w:space="0"/>
            </w:tcBorders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实验</w:t>
            </w:r>
          </w:p>
        </w:tc>
        <w:tc>
          <w:tcPr>
            <w:tcW w:w="633" w:type="dxa"/>
            <w:tcBorders>
              <w:bottom w:val="single" w:color="auto" w:sz="12" w:space="0"/>
            </w:tcBorders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实习</w:t>
            </w:r>
          </w:p>
        </w:tc>
        <w:tc>
          <w:tcPr>
            <w:tcW w:w="428" w:type="dxa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课堂教学</w:t>
            </w:r>
          </w:p>
        </w:tc>
        <w:tc>
          <w:tcPr>
            <w:tcW w:w="429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必修</w:t>
            </w:r>
          </w:p>
        </w:tc>
        <w:tc>
          <w:tcPr>
            <w:tcW w:w="856" w:type="dxa"/>
            <w:gridSpan w:val="2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普通共同课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2400411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大学生心理健康教育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2029413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思想道德修养与法律基础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1500111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体育(一)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2019012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中国近现代史纲要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1501511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军事理论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0700314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大学英语(三)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1255012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计算机文化基础(理)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0700413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大学英语(四)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1500211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体育(二)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1260514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C语言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1500311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体育(三)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0700513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大学英语(五)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2401514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textDirection w:val="lrTb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3400311</w:t>
            </w:r>
          </w:p>
        </w:tc>
        <w:tc>
          <w:tcPr>
            <w:tcW w:w="2372" w:type="dxa"/>
            <w:textDirection w:val="lrTb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大学生职业生涯与发展规划</w:t>
            </w:r>
          </w:p>
        </w:tc>
        <w:tc>
          <w:tcPr>
            <w:tcW w:w="574" w:type="dxa"/>
            <w:textDirection w:val="lrTb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二1</w:t>
            </w:r>
          </w:p>
        </w:tc>
        <w:tc>
          <w:tcPr>
            <w:tcW w:w="633" w:type="dxa"/>
            <w:textDirection w:val="lrTb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633" w:type="dxa"/>
            <w:textDirection w:val="lrTb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633" w:type="dxa"/>
            <w:textDirection w:val="lrTb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textDirection w:val="lrTb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8" w:type="dxa"/>
            <w:textDirection w:val="lrTb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60" w:type="dxa"/>
            <w:textDirection w:val="lrTb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textDirection w:val="lrTb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0704222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高级英语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1500411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体育(四)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2040113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马克思主义基本原理概论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textDirection w:val="lrTb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3400211</w:t>
            </w:r>
          </w:p>
        </w:tc>
        <w:tc>
          <w:tcPr>
            <w:tcW w:w="2372" w:type="dxa"/>
            <w:textDirection w:val="lrTb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大学生就业与创业指导</w:t>
            </w:r>
          </w:p>
        </w:tc>
        <w:tc>
          <w:tcPr>
            <w:tcW w:w="574" w:type="dxa"/>
            <w:textDirection w:val="lrTb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三2</w:t>
            </w:r>
          </w:p>
        </w:tc>
        <w:tc>
          <w:tcPr>
            <w:tcW w:w="633" w:type="dxa"/>
            <w:textDirection w:val="lrTb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633" w:type="dxa"/>
            <w:textDirection w:val="lrTb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633" w:type="dxa"/>
            <w:textDirection w:val="lrTb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textDirection w:val="lrTb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8" w:type="dxa"/>
            <w:textDirection w:val="lrTb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60" w:type="dxa"/>
            <w:textDirection w:val="lrTb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textDirection w:val="lrTb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2031112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形势与政策教育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学科共同课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0422713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微观经济学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0222114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微积分(上)A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1900243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大学语文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0402413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政治经济学(资、社)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0422812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宏观经济学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0302313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会计学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0601613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货币银行学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0222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  <w:r>
              <w:rPr>
                <w:sz w:val="18"/>
                <w:szCs w:val="18"/>
              </w:rPr>
              <w:t>14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微积分(下)A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0204113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线性代数(文)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0230223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概率论与数理统计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0601713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财政学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0625612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国际经济学(国际贸易)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0200913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国民经济统计学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0636913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国际金融学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专业核心课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0600513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证券投资学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0641513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金融经济学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0642133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计量经济学(</w:t>
            </w:r>
            <w:r>
              <w:rPr>
                <w:rFonts w:hint="eastAsia" w:ascii="宋体" w:hAnsi="宋体" w:cs="宋体"/>
                <w:sz w:val="18"/>
                <w:szCs w:val="18"/>
              </w:rPr>
              <w:t>Ⅰ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0637013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公司金融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0603311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金融随机过程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0642333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金融工程学(</w:t>
            </w:r>
            <w:r>
              <w:rPr>
                <w:rFonts w:hint="eastAsia" w:ascii="宋体" w:hAnsi="宋体" w:cs="宋体"/>
                <w:sz w:val="18"/>
                <w:szCs w:val="18"/>
              </w:rPr>
              <w:t>Ⅰ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选修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专业选修课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金融分析模块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0642242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计量经济学(</w:t>
            </w:r>
            <w:r>
              <w:rPr>
                <w:rFonts w:hint="eastAsia" w:ascii="宋体" w:hAnsi="宋体" w:cs="宋体"/>
                <w:sz w:val="18"/>
                <w:szCs w:val="18"/>
              </w:rPr>
              <w:t>Ⅱ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0217743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多元统计分析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0641212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金融模拟与实验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投资理财模块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0628512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固定收益证券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0602422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金融技术分析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0631522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个人金融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风险管理模块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0608012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金融监管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0630313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金融风险管理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0642542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保险精算学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互联网金融模块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0610922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金融数据挖掘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0642942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互联网金融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1202513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电子商务概论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1236443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网络安全与支付结算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专业技能模块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0643042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EXCEL在金融中的应用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lang w:eastAsia="zh-CN"/>
              </w:rPr>
              <w:t>二</w:t>
            </w:r>
            <w:r>
              <w:rPr>
                <w:rFonts w:hint="eastAsia"/>
                <w:color w:val="FF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0629543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MATLAB在金融中的应用(英)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lang w:eastAsia="zh-CN"/>
              </w:rPr>
              <w:t>二</w:t>
            </w:r>
            <w:r>
              <w:rPr>
                <w:rFonts w:hint="eastAsia"/>
                <w:color w:val="FF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0629743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SAS在金融中的应用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lang w:eastAsia="zh-CN"/>
              </w:rPr>
              <w:t>二</w:t>
            </w:r>
            <w:r>
              <w:rPr>
                <w:rFonts w:hint="eastAsia"/>
                <w:color w:val="FF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0629643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R语言在金融中的应用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both"/>
              <w:rPr>
                <w:rFonts w:hint="eastAsia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lang w:eastAsia="zh-CN"/>
              </w:rPr>
              <w:t>二</w:t>
            </w:r>
            <w:r>
              <w:rPr>
                <w:rFonts w:hint="eastAsia"/>
                <w:color w:val="FF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其他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0636811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金融学</w:t>
            </w:r>
            <w:r>
              <w:rPr>
                <w:rFonts w:hint="eastAsia"/>
                <w:sz w:val="18"/>
                <w:szCs w:val="18"/>
                <w:lang w:eastAsia="zh-CN"/>
              </w:rPr>
              <w:t>类</w:t>
            </w:r>
            <w:r>
              <w:rPr>
                <w:sz w:val="18"/>
                <w:szCs w:val="18"/>
              </w:rPr>
              <w:t>专业导论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0629541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金融实务专题(</w:t>
            </w:r>
            <w:r>
              <w:rPr>
                <w:rFonts w:hint="eastAsia" w:ascii="宋体" w:hAnsi="宋体" w:cs="宋体"/>
                <w:color w:val="FF0000"/>
                <w:sz w:val="18"/>
                <w:szCs w:val="18"/>
              </w:rPr>
              <w:t>Ⅰ</w:t>
            </w:r>
            <w:r>
              <w:rPr>
                <w:color w:val="FF0000"/>
                <w:sz w:val="18"/>
                <w:szCs w:val="18"/>
              </w:rPr>
              <w:t>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lang w:eastAsia="zh-CN"/>
              </w:rPr>
              <w:t>三</w:t>
            </w:r>
            <w:r>
              <w:rPr>
                <w:rFonts w:hint="eastAsia"/>
                <w:color w:val="FF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0643142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金融实务专题(</w:t>
            </w:r>
            <w:r>
              <w:rPr>
                <w:rFonts w:hint="eastAsia" w:ascii="宋体" w:hAnsi="宋体" w:cs="宋体"/>
                <w:color w:val="FF0000"/>
                <w:sz w:val="18"/>
                <w:szCs w:val="18"/>
              </w:rPr>
              <w:t>Ⅱ</w:t>
            </w:r>
            <w:r>
              <w:rPr>
                <w:color w:val="FF0000"/>
                <w:sz w:val="18"/>
                <w:szCs w:val="18"/>
              </w:rPr>
              <w:t xml:space="preserve">) 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lang w:eastAsia="zh-CN"/>
              </w:rPr>
              <w:t>三</w:t>
            </w:r>
            <w:r>
              <w:rPr>
                <w:rFonts w:hint="eastAsia"/>
                <w:color w:val="FF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0632322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金融市场微观结构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0106822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管理运筹学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0729412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高级英语口语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0729213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考研英语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0306743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高级财务会计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0423722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管理学原理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0634112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资产估价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0600912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项目评估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0637143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商业银行经营学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0607643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保险学原理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2005442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当代世界经济与政治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0315112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财务报告分析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0631622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金融证书英语(英)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0642442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金融工程学(</w:t>
            </w:r>
            <w:r>
              <w:rPr>
                <w:rFonts w:hint="eastAsia" w:ascii="宋体" w:hAnsi="宋体" w:cs="宋体"/>
                <w:sz w:val="18"/>
                <w:szCs w:val="18"/>
              </w:rPr>
              <w:t>Ⅱ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0602322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投资银行学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0902442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经济法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0637312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房地产金融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0415922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经济博弈论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0643542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金融会计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0630812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行为金融学专题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0603622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国际结算(英)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0611412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金融营销学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实践教学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1502811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军训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0633811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社会调查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2401612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思想政治理论课实践教学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0631811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专业文献检索与综述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9800141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创新与创业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9800282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素质拓展 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0600116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毕业论文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四2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0600415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毕业实习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四2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</w:tbl>
    <w:p/>
    <w:p>
      <w:r>
        <w:t>注：</w:t>
      </w:r>
      <w:r>
        <w:rPr>
          <w:rFonts w:hint="eastAsia" w:ascii="宋体" w:hAnsi="宋体" w:cs="宋体"/>
        </w:rPr>
        <w:t>①</w:t>
      </w:r>
      <w:r>
        <w:t>专业技能模块要求</w:t>
      </w:r>
      <w:r>
        <w:rPr>
          <w:rFonts w:hint="eastAsia"/>
          <w:lang w:eastAsia="zh-CN"/>
        </w:rPr>
        <w:t>分二学期各选择一</w:t>
      </w:r>
      <w:r>
        <w:t>门课程。</w:t>
      </w: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sectPr>
      <w:pgSz w:w="11907" w:h="16840"/>
      <w:pgMar w:top="1418" w:right="1418" w:bottom="1418" w:left="1418" w:header="1021" w:footer="851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framePr w:wrap="around" w:vAnchor="text" w:hAnchor="margin" w:xAlign="center" w:y="1"/>
      <w:rPr>
        <w:rStyle w:val="37"/>
      </w:rPr>
    </w:pPr>
    <w:r>
      <w:rPr>
        <w:rStyle w:val="37"/>
      </w:rPr>
      <w:fldChar w:fldCharType="begin"/>
    </w:r>
    <w:r>
      <w:rPr>
        <w:rStyle w:val="37"/>
      </w:rPr>
      <w:instrText xml:space="preserve">PAGE  </w:instrText>
    </w:r>
    <w:r>
      <w:rPr>
        <w:rStyle w:val="37"/>
      </w:rPr>
      <w:fldChar w:fldCharType="separate"/>
    </w:r>
    <w:r>
      <w:rPr>
        <w:rStyle w:val="37"/>
      </w:rPr>
      <w:t>14</w:t>
    </w:r>
    <w:r>
      <w:rPr>
        <w:rStyle w:val="37"/>
      </w:rPr>
      <w:fldChar w:fldCharType="end"/>
    </w:r>
  </w:p>
  <w:p>
    <w:pPr>
      <w:pStyle w:val="2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934"/>
    <w:rsid w:val="00001E33"/>
    <w:rsid w:val="00007828"/>
    <w:rsid w:val="00016C33"/>
    <w:rsid w:val="00016DD2"/>
    <w:rsid w:val="00017848"/>
    <w:rsid w:val="00022BAD"/>
    <w:rsid w:val="00023EF2"/>
    <w:rsid w:val="00026FC5"/>
    <w:rsid w:val="00032580"/>
    <w:rsid w:val="000373D8"/>
    <w:rsid w:val="00044B0B"/>
    <w:rsid w:val="00046BE1"/>
    <w:rsid w:val="00061AE2"/>
    <w:rsid w:val="00063045"/>
    <w:rsid w:val="000708B6"/>
    <w:rsid w:val="00075D42"/>
    <w:rsid w:val="00076879"/>
    <w:rsid w:val="00077243"/>
    <w:rsid w:val="00077502"/>
    <w:rsid w:val="00085316"/>
    <w:rsid w:val="000A0960"/>
    <w:rsid w:val="000A1BDA"/>
    <w:rsid w:val="000A345A"/>
    <w:rsid w:val="000A4E82"/>
    <w:rsid w:val="000A67A6"/>
    <w:rsid w:val="000B2AAD"/>
    <w:rsid w:val="000B515C"/>
    <w:rsid w:val="000B5EBA"/>
    <w:rsid w:val="000D4E76"/>
    <w:rsid w:val="000D70F2"/>
    <w:rsid w:val="000E6EB3"/>
    <w:rsid w:val="000E7B70"/>
    <w:rsid w:val="000F189F"/>
    <w:rsid w:val="000F18D8"/>
    <w:rsid w:val="000F6B39"/>
    <w:rsid w:val="00104570"/>
    <w:rsid w:val="001047F7"/>
    <w:rsid w:val="001130BD"/>
    <w:rsid w:val="0012758B"/>
    <w:rsid w:val="00132690"/>
    <w:rsid w:val="00134960"/>
    <w:rsid w:val="001432DA"/>
    <w:rsid w:val="00144F48"/>
    <w:rsid w:val="00153191"/>
    <w:rsid w:val="00157E18"/>
    <w:rsid w:val="00161917"/>
    <w:rsid w:val="0016595B"/>
    <w:rsid w:val="001669D6"/>
    <w:rsid w:val="00166BE0"/>
    <w:rsid w:val="0018138B"/>
    <w:rsid w:val="00185400"/>
    <w:rsid w:val="00193FD8"/>
    <w:rsid w:val="001A0614"/>
    <w:rsid w:val="001A2547"/>
    <w:rsid w:val="001A350C"/>
    <w:rsid w:val="001B2EAD"/>
    <w:rsid w:val="001B46FB"/>
    <w:rsid w:val="001C7036"/>
    <w:rsid w:val="001C70B8"/>
    <w:rsid w:val="001C7D63"/>
    <w:rsid w:val="001D4E5D"/>
    <w:rsid w:val="001D621B"/>
    <w:rsid w:val="001E04C7"/>
    <w:rsid w:val="001E25F6"/>
    <w:rsid w:val="001F17BA"/>
    <w:rsid w:val="001F2047"/>
    <w:rsid w:val="001F6D1B"/>
    <w:rsid w:val="002078BB"/>
    <w:rsid w:val="00210C69"/>
    <w:rsid w:val="00216187"/>
    <w:rsid w:val="002172EB"/>
    <w:rsid w:val="0021770F"/>
    <w:rsid w:val="0022307B"/>
    <w:rsid w:val="00227C0B"/>
    <w:rsid w:val="00235462"/>
    <w:rsid w:val="00247E6B"/>
    <w:rsid w:val="00251720"/>
    <w:rsid w:val="002543CF"/>
    <w:rsid w:val="0025641A"/>
    <w:rsid w:val="002660C3"/>
    <w:rsid w:val="002807D4"/>
    <w:rsid w:val="00282C91"/>
    <w:rsid w:val="00290227"/>
    <w:rsid w:val="002913C3"/>
    <w:rsid w:val="002A08B6"/>
    <w:rsid w:val="002A6E24"/>
    <w:rsid w:val="002B6C75"/>
    <w:rsid w:val="002C09C0"/>
    <w:rsid w:val="002C6E71"/>
    <w:rsid w:val="002E29A7"/>
    <w:rsid w:val="002F267F"/>
    <w:rsid w:val="002F3DB9"/>
    <w:rsid w:val="002F7F3A"/>
    <w:rsid w:val="0030088F"/>
    <w:rsid w:val="00301829"/>
    <w:rsid w:val="00301C58"/>
    <w:rsid w:val="003037BC"/>
    <w:rsid w:val="00304235"/>
    <w:rsid w:val="003055F7"/>
    <w:rsid w:val="003102B3"/>
    <w:rsid w:val="00315BEB"/>
    <w:rsid w:val="003218C4"/>
    <w:rsid w:val="00332EBF"/>
    <w:rsid w:val="00336852"/>
    <w:rsid w:val="00342E6A"/>
    <w:rsid w:val="0034623A"/>
    <w:rsid w:val="0035081F"/>
    <w:rsid w:val="00353C77"/>
    <w:rsid w:val="00355266"/>
    <w:rsid w:val="003637E1"/>
    <w:rsid w:val="0037635D"/>
    <w:rsid w:val="00377755"/>
    <w:rsid w:val="00387F4D"/>
    <w:rsid w:val="003944F7"/>
    <w:rsid w:val="003A7539"/>
    <w:rsid w:val="003B176D"/>
    <w:rsid w:val="003C17FB"/>
    <w:rsid w:val="003C4485"/>
    <w:rsid w:val="003C602B"/>
    <w:rsid w:val="003C74C5"/>
    <w:rsid w:val="003D4FFA"/>
    <w:rsid w:val="003D5591"/>
    <w:rsid w:val="003E7A94"/>
    <w:rsid w:val="003F0C09"/>
    <w:rsid w:val="003F3363"/>
    <w:rsid w:val="003F3403"/>
    <w:rsid w:val="003F4A4F"/>
    <w:rsid w:val="003F5BCE"/>
    <w:rsid w:val="00402944"/>
    <w:rsid w:val="00404F56"/>
    <w:rsid w:val="00405CA0"/>
    <w:rsid w:val="0040689B"/>
    <w:rsid w:val="00417085"/>
    <w:rsid w:val="00422175"/>
    <w:rsid w:val="00424869"/>
    <w:rsid w:val="004271E9"/>
    <w:rsid w:val="00431ABF"/>
    <w:rsid w:val="00434BA3"/>
    <w:rsid w:val="004431A7"/>
    <w:rsid w:val="00443C36"/>
    <w:rsid w:val="004578AE"/>
    <w:rsid w:val="00457F87"/>
    <w:rsid w:val="004630AD"/>
    <w:rsid w:val="004667CC"/>
    <w:rsid w:val="00472532"/>
    <w:rsid w:val="004756AB"/>
    <w:rsid w:val="00475D99"/>
    <w:rsid w:val="00483AC6"/>
    <w:rsid w:val="00486FF8"/>
    <w:rsid w:val="00487957"/>
    <w:rsid w:val="004919F3"/>
    <w:rsid w:val="004920DC"/>
    <w:rsid w:val="00494DD0"/>
    <w:rsid w:val="004970B3"/>
    <w:rsid w:val="004A0518"/>
    <w:rsid w:val="004A1D4F"/>
    <w:rsid w:val="004A499E"/>
    <w:rsid w:val="004B2235"/>
    <w:rsid w:val="004B33F5"/>
    <w:rsid w:val="004B7FBC"/>
    <w:rsid w:val="004C2FA1"/>
    <w:rsid w:val="004C33F8"/>
    <w:rsid w:val="004C4201"/>
    <w:rsid w:val="004C70F0"/>
    <w:rsid w:val="004D75C4"/>
    <w:rsid w:val="004E488C"/>
    <w:rsid w:val="004F2A80"/>
    <w:rsid w:val="004F3874"/>
    <w:rsid w:val="004F6771"/>
    <w:rsid w:val="0050064C"/>
    <w:rsid w:val="00503311"/>
    <w:rsid w:val="00503598"/>
    <w:rsid w:val="005062A8"/>
    <w:rsid w:val="0050660A"/>
    <w:rsid w:val="005101B9"/>
    <w:rsid w:val="00512223"/>
    <w:rsid w:val="00512A73"/>
    <w:rsid w:val="00522754"/>
    <w:rsid w:val="005256D1"/>
    <w:rsid w:val="00525A8D"/>
    <w:rsid w:val="005428DC"/>
    <w:rsid w:val="00551328"/>
    <w:rsid w:val="0055450B"/>
    <w:rsid w:val="00554A64"/>
    <w:rsid w:val="00563352"/>
    <w:rsid w:val="00570AA7"/>
    <w:rsid w:val="00586889"/>
    <w:rsid w:val="0058785E"/>
    <w:rsid w:val="0059198B"/>
    <w:rsid w:val="005A2DDA"/>
    <w:rsid w:val="005A2EDE"/>
    <w:rsid w:val="005A4F43"/>
    <w:rsid w:val="005A6431"/>
    <w:rsid w:val="005B101F"/>
    <w:rsid w:val="005B6D07"/>
    <w:rsid w:val="005C4699"/>
    <w:rsid w:val="005C4F05"/>
    <w:rsid w:val="005C65FA"/>
    <w:rsid w:val="005C705E"/>
    <w:rsid w:val="005C7961"/>
    <w:rsid w:val="005D32F9"/>
    <w:rsid w:val="005E5B2B"/>
    <w:rsid w:val="005F1D6C"/>
    <w:rsid w:val="005F2229"/>
    <w:rsid w:val="005F43D5"/>
    <w:rsid w:val="005F5734"/>
    <w:rsid w:val="005F7B4F"/>
    <w:rsid w:val="00604254"/>
    <w:rsid w:val="006061BC"/>
    <w:rsid w:val="00611DD2"/>
    <w:rsid w:val="00612625"/>
    <w:rsid w:val="00630284"/>
    <w:rsid w:val="00636AE0"/>
    <w:rsid w:val="006405C1"/>
    <w:rsid w:val="00640C56"/>
    <w:rsid w:val="0064193B"/>
    <w:rsid w:val="00643418"/>
    <w:rsid w:val="00646018"/>
    <w:rsid w:val="0064670E"/>
    <w:rsid w:val="00647E46"/>
    <w:rsid w:val="00652421"/>
    <w:rsid w:val="00654A2A"/>
    <w:rsid w:val="0065615B"/>
    <w:rsid w:val="00660C5B"/>
    <w:rsid w:val="0067040D"/>
    <w:rsid w:val="006745CA"/>
    <w:rsid w:val="00682F30"/>
    <w:rsid w:val="00687CD7"/>
    <w:rsid w:val="00695C20"/>
    <w:rsid w:val="00695F76"/>
    <w:rsid w:val="006977BE"/>
    <w:rsid w:val="006A0AF2"/>
    <w:rsid w:val="006C06D5"/>
    <w:rsid w:val="006C2E36"/>
    <w:rsid w:val="006C35FD"/>
    <w:rsid w:val="006C47E5"/>
    <w:rsid w:val="006C5C3A"/>
    <w:rsid w:val="006D3E7D"/>
    <w:rsid w:val="006D5B4B"/>
    <w:rsid w:val="006E6D0F"/>
    <w:rsid w:val="006E7E7F"/>
    <w:rsid w:val="006F7FAC"/>
    <w:rsid w:val="0070272A"/>
    <w:rsid w:val="00703F4D"/>
    <w:rsid w:val="0070508B"/>
    <w:rsid w:val="0071057B"/>
    <w:rsid w:val="0071345F"/>
    <w:rsid w:val="00713813"/>
    <w:rsid w:val="007141DC"/>
    <w:rsid w:val="00723059"/>
    <w:rsid w:val="00726CDE"/>
    <w:rsid w:val="00726F68"/>
    <w:rsid w:val="00753159"/>
    <w:rsid w:val="0075322E"/>
    <w:rsid w:val="00757EF1"/>
    <w:rsid w:val="007620D3"/>
    <w:rsid w:val="00762FCF"/>
    <w:rsid w:val="00767689"/>
    <w:rsid w:val="0076778D"/>
    <w:rsid w:val="00770067"/>
    <w:rsid w:val="007718B6"/>
    <w:rsid w:val="007860CC"/>
    <w:rsid w:val="0079100F"/>
    <w:rsid w:val="007A05E8"/>
    <w:rsid w:val="007A1238"/>
    <w:rsid w:val="007B0F55"/>
    <w:rsid w:val="007B6256"/>
    <w:rsid w:val="007B66BD"/>
    <w:rsid w:val="007C1E56"/>
    <w:rsid w:val="007C5492"/>
    <w:rsid w:val="007C70D3"/>
    <w:rsid w:val="007C7383"/>
    <w:rsid w:val="007D03FC"/>
    <w:rsid w:val="007D24FB"/>
    <w:rsid w:val="007D7CBC"/>
    <w:rsid w:val="007D7DD5"/>
    <w:rsid w:val="007E37B8"/>
    <w:rsid w:val="007E5E24"/>
    <w:rsid w:val="007F0F0D"/>
    <w:rsid w:val="007F2D95"/>
    <w:rsid w:val="007F59D6"/>
    <w:rsid w:val="007F6FBD"/>
    <w:rsid w:val="008041C8"/>
    <w:rsid w:val="00804416"/>
    <w:rsid w:val="00804AF1"/>
    <w:rsid w:val="00817F5F"/>
    <w:rsid w:val="008200FC"/>
    <w:rsid w:val="00830535"/>
    <w:rsid w:val="008324A6"/>
    <w:rsid w:val="008435C5"/>
    <w:rsid w:val="00851B91"/>
    <w:rsid w:val="00852EF4"/>
    <w:rsid w:val="008627B2"/>
    <w:rsid w:val="008631FF"/>
    <w:rsid w:val="008653FF"/>
    <w:rsid w:val="008708F9"/>
    <w:rsid w:val="00881929"/>
    <w:rsid w:val="00883C9B"/>
    <w:rsid w:val="008849F7"/>
    <w:rsid w:val="00891F73"/>
    <w:rsid w:val="008A07BB"/>
    <w:rsid w:val="008A69F5"/>
    <w:rsid w:val="008A6D86"/>
    <w:rsid w:val="008B035C"/>
    <w:rsid w:val="008B197F"/>
    <w:rsid w:val="008B47A7"/>
    <w:rsid w:val="008C75C2"/>
    <w:rsid w:val="008D0953"/>
    <w:rsid w:val="008D0AF2"/>
    <w:rsid w:val="008D216E"/>
    <w:rsid w:val="008D481E"/>
    <w:rsid w:val="008D5E74"/>
    <w:rsid w:val="008E4D28"/>
    <w:rsid w:val="008E513A"/>
    <w:rsid w:val="008E6975"/>
    <w:rsid w:val="008F452D"/>
    <w:rsid w:val="009030AD"/>
    <w:rsid w:val="00906075"/>
    <w:rsid w:val="00924476"/>
    <w:rsid w:val="009265EF"/>
    <w:rsid w:val="00934FBA"/>
    <w:rsid w:val="009353F5"/>
    <w:rsid w:val="00935A26"/>
    <w:rsid w:val="00936CD3"/>
    <w:rsid w:val="00942ED3"/>
    <w:rsid w:val="00943167"/>
    <w:rsid w:val="009435D7"/>
    <w:rsid w:val="00945044"/>
    <w:rsid w:val="00945C4F"/>
    <w:rsid w:val="009464C0"/>
    <w:rsid w:val="00946AD3"/>
    <w:rsid w:val="00950021"/>
    <w:rsid w:val="009528D6"/>
    <w:rsid w:val="0095547A"/>
    <w:rsid w:val="0095722F"/>
    <w:rsid w:val="00960EF4"/>
    <w:rsid w:val="009619E5"/>
    <w:rsid w:val="00961F51"/>
    <w:rsid w:val="00967EC3"/>
    <w:rsid w:val="00967F17"/>
    <w:rsid w:val="00970834"/>
    <w:rsid w:val="00971E8A"/>
    <w:rsid w:val="00973AB9"/>
    <w:rsid w:val="0098092F"/>
    <w:rsid w:val="00981573"/>
    <w:rsid w:val="00985815"/>
    <w:rsid w:val="00997CD0"/>
    <w:rsid w:val="009A08F3"/>
    <w:rsid w:val="009A2145"/>
    <w:rsid w:val="009B03C0"/>
    <w:rsid w:val="009B11F6"/>
    <w:rsid w:val="009B5CD3"/>
    <w:rsid w:val="009B6227"/>
    <w:rsid w:val="009C4994"/>
    <w:rsid w:val="009D0421"/>
    <w:rsid w:val="009D35B4"/>
    <w:rsid w:val="009E11CB"/>
    <w:rsid w:val="009E143D"/>
    <w:rsid w:val="009F28C8"/>
    <w:rsid w:val="009F509E"/>
    <w:rsid w:val="00A0198F"/>
    <w:rsid w:val="00A026CA"/>
    <w:rsid w:val="00A11338"/>
    <w:rsid w:val="00A1476D"/>
    <w:rsid w:val="00A20303"/>
    <w:rsid w:val="00A25E73"/>
    <w:rsid w:val="00A34314"/>
    <w:rsid w:val="00A4121C"/>
    <w:rsid w:val="00A54408"/>
    <w:rsid w:val="00A60771"/>
    <w:rsid w:val="00A61224"/>
    <w:rsid w:val="00A63EF3"/>
    <w:rsid w:val="00A6681B"/>
    <w:rsid w:val="00A701C2"/>
    <w:rsid w:val="00A72950"/>
    <w:rsid w:val="00A73B9D"/>
    <w:rsid w:val="00A855ED"/>
    <w:rsid w:val="00A86FBE"/>
    <w:rsid w:val="00A87F0A"/>
    <w:rsid w:val="00A92DE5"/>
    <w:rsid w:val="00A956B2"/>
    <w:rsid w:val="00AA17EF"/>
    <w:rsid w:val="00AA2F29"/>
    <w:rsid w:val="00AA77F9"/>
    <w:rsid w:val="00AB2DB3"/>
    <w:rsid w:val="00AB7E70"/>
    <w:rsid w:val="00AC56CD"/>
    <w:rsid w:val="00AC61D9"/>
    <w:rsid w:val="00AD4AA1"/>
    <w:rsid w:val="00AF5708"/>
    <w:rsid w:val="00AF5C42"/>
    <w:rsid w:val="00B00015"/>
    <w:rsid w:val="00B0083B"/>
    <w:rsid w:val="00B0169B"/>
    <w:rsid w:val="00B02EBD"/>
    <w:rsid w:val="00B050A3"/>
    <w:rsid w:val="00B056AC"/>
    <w:rsid w:val="00B060AF"/>
    <w:rsid w:val="00B10FCA"/>
    <w:rsid w:val="00B153A0"/>
    <w:rsid w:val="00B15A66"/>
    <w:rsid w:val="00B16745"/>
    <w:rsid w:val="00B24CF8"/>
    <w:rsid w:val="00B275C3"/>
    <w:rsid w:val="00B30591"/>
    <w:rsid w:val="00B306E6"/>
    <w:rsid w:val="00B61EB0"/>
    <w:rsid w:val="00B62726"/>
    <w:rsid w:val="00B73D95"/>
    <w:rsid w:val="00B746D8"/>
    <w:rsid w:val="00B80C09"/>
    <w:rsid w:val="00B81446"/>
    <w:rsid w:val="00B81F53"/>
    <w:rsid w:val="00B820C9"/>
    <w:rsid w:val="00B85CEF"/>
    <w:rsid w:val="00B878E2"/>
    <w:rsid w:val="00B96544"/>
    <w:rsid w:val="00BB0589"/>
    <w:rsid w:val="00BB419A"/>
    <w:rsid w:val="00BB5E02"/>
    <w:rsid w:val="00BB6389"/>
    <w:rsid w:val="00BB7C10"/>
    <w:rsid w:val="00BB7E0C"/>
    <w:rsid w:val="00BD2494"/>
    <w:rsid w:val="00BE087E"/>
    <w:rsid w:val="00BF2BD0"/>
    <w:rsid w:val="00BF315F"/>
    <w:rsid w:val="00C11F8D"/>
    <w:rsid w:val="00C1368E"/>
    <w:rsid w:val="00C17BAC"/>
    <w:rsid w:val="00C26601"/>
    <w:rsid w:val="00C27EB5"/>
    <w:rsid w:val="00C31EB0"/>
    <w:rsid w:val="00C3438D"/>
    <w:rsid w:val="00C36004"/>
    <w:rsid w:val="00C40B63"/>
    <w:rsid w:val="00C42934"/>
    <w:rsid w:val="00C50843"/>
    <w:rsid w:val="00C56214"/>
    <w:rsid w:val="00C61653"/>
    <w:rsid w:val="00C63B15"/>
    <w:rsid w:val="00C665CE"/>
    <w:rsid w:val="00C66F95"/>
    <w:rsid w:val="00C711C4"/>
    <w:rsid w:val="00C71E9F"/>
    <w:rsid w:val="00C76055"/>
    <w:rsid w:val="00C77CE4"/>
    <w:rsid w:val="00C81F69"/>
    <w:rsid w:val="00C85F43"/>
    <w:rsid w:val="00C864EF"/>
    <w:rsid w:val="00C877CF"/>
    <w:rsid w:val="00C93A9C"/>
    <w:rsid w:val="00CA2C26"/>
    <w:rsid w:val="00CA4927"/>
    <w:rsid w:val="00CA4E64"/>
    <w:rsid w:val="00CB6F8B"/>
    <w:rsid w:val="00CC01FF"/>
    <w:rsid w:val="00CC1987"/>
    <w:rsid w:val="00CC2E20"/>
    <w:rsid w:val="00CC5C39"/>
    <w:rsid w:val="00CD0DF0"/>
    <w:rsid w:val="00CD3131"/>
    <w:rsid w:val="00CD3393"/>
    <w:rsid w:val="00CE3936"/>
    <w:rsid w:val="00CE7E12"/>
    <w:rsid w:val="00CF0369"/>
    <w:rsid w:val="00CF13E4"/>
    <w:rsid w:val="00CF224A"/>
    <w:rsid w:val="00CF29B7"/>
    <w:rsid w:val="00D00385"/>
    <w:rsid w:val="00D02BFB"/>
    <w:rsid w:val="00D03655"/>
    <w:rsid w:val="00D075A6"/>
    <w:rsid w:val="00D1167E"/>
    <w:rsid w:val="00D15B44"/>
    <w:rsid w:val="00D16269"/>
    <w:rsid w:val="00D162EE"/>
    <w:rsid w:val="00D17E34"/>
    <w:rsid w:val="00D23064"/>
    <w:rsid w:val="00D25623"/>
    <w:rsid w:val="00D25945"/>
    <w:rsid w:val="00D2686A"/>
    <w:rsid w:val="00D32186"/>
    <w:rsid w:val="00D40536"/>
    <w:rsid w:val="00D422D0"/>
    <w:rsid w:val="00D42317"/>
    <w:rsid w:val="00D50FC5"/>
    <w:rsid w:val="00D51BF3"/>
    <w:rsid w:val="00D532D4"/>
    <w:rsid w:val="00D54358"/>
    <w:rsid w:val="00D60116"/>
    <w:rsid w:val="00D63C73"/>
    <w:rsid w:val="00D640E1"/>
    <w:rsid w:val="00D71DA2"/>
    <w:rsid w:val="00D77195"/>
    <w:rsid w:val="00D84134"/>
    <w:rsid w:val="00D85825"/>
    <w:rsid w:val="00D85D47"/>
    <w:rsid w:val="00D930E3"/>
    <w:rsid w:val="00D93F54"/>
    <w:rsid w:val="00D95BA7"/>
    <w:rsid w:val="00D96F12"/>
    <w:rsid w:val="00DA40FD"/>
    <w:rsid w:val="00DA78B0"/>
    <w:rsid w:val="00DB128E"/>
    <w:rsid w:val="00DC6CA4"/>
    <w:rsid w:val="00DD321A"/>
    <w:rsid w:val="00DE0891"/>
    <w:rsid w:val="00DE5A88"/>
    <w:rsid w:val="00DF2511"/>
    <w:rsid w:val="00DF44F4"/>
    <w:rsid w:val="00DF6474"/>
    <w:rsid w:val="00E00176"/>
    <w:rsid w:val="00E03B36"/>
    <w:rsid w:val="00E04100"/>
    <w:rsid w:val="00E154BE"/>
    <w:rsid w:val="00E219DE"/>
    <w:rsid w:val="00E328FF"/>
    <w:rsid w:val="00E33E45"/>
    <w:rsid w:val="00E3422F"/>
    <w:rsid w:val="00E409C6"/>
    <w:rsid w:val="00E4412D"/>
    <w:rsid w:val="00E446CB"/>
    <w:rsid w:val="00E467A0"/>
    <w:rsid w:val="00E46ECF"/>
    <w:rsid w:val="00E51EC5"/>
    <w:rsid w:val="00E53C15"/>
    <w:rsid w:val="00E5657A"/>
    <w:rsid w:val="00E5714C"/>
    <w:rsid w:val="00E667E4"/>
    <w:rsid w:val="00E674C4"/>
    <w:rsid w:val="00E761EC"/>
    <w:rsid w:val="00E91DA0"/>
    <w:rsid w:val="00E93A96"/>
    <w:rsid w:val="00EA1C49"/>
    <w:rsid w:val="00EA21D1"/>
    <w:rsid w:val="00EA5BB5"/>
    <w:rsid w:val="00EA6903"/>
    <w:rsid w:val="00EA7A82"/>
    <w:rsid w:val="00EB5705"/>
    <w:rsid w:val="00EB7D3C"/>
    <w:rsid w:val="00EC50C4"/>
    <w:rsid w:val="00EE0E3B"/>
    <w:rsid w:val="00EE0ECC"/>
    <w:rsid w:val="00EF0FC4"/>
    <w:rsid w:val="00EF6F82"/>
    <w:rsid w:val="00F00648"/>
    <w:rsid w:val="00F012E0"/>
    <w:rsid w:val="00F01701"/>
    <w:rsid w:val="00F04B66"/>
    <w:rsid w:val="00F1097F"/>
    <w:rsid w:val="00F15802"/>
    <w:rsid w:val="00F20B1F"/>
    <w:rsid w:val="00F2446F"/>
    <w:rsid w:val="00F251E3"/>
    <w:rsid w:val="00F36A73"/>
    <w:rsid w:val="00F36D06"/>
    <w:rsid w:val="00F5002A"/>
    <w:rsid w:val="00F53347"/>
    <w:rsid w:val="00F703B2"/>
    <w:rsid w:val="00F77390"/>
    <w:rsid w:val="00F80B34"/>
    <w:rsid w:val="00F81A54"/>
    <w:rsid w:val="00F85686"/>
    <w:rsid w:val="00F9058F"/>
    <w:rsid w:val="00F92C54"/>
    <w:rsid w:val="00F939F2"/>
    <w:rsid w:val="00F95C78"/>
    <w:rsid w:val="00F97A7A"/>
    <w:rsid w:val="00FA1502"/>
    <w:rsid w:val="00FA4DD5"/>
    <w:rsid w:val="00FA4F80"/>
    <w:rsid w:val="00FA5190"/>
    <w:rsid w:val="00FB0D92"/>
    <w:rsid w:val="00FB58E1"/>
    <w:rsid w:val="00FD5563"/>
    <w:rsid w:val="00FD69B6"/>
    <w:rsid w:val="00FE0756"/>
    <w:rsid w:val="00FE1726"/>
    <w:rsid w:val="00FE39AA"/>
    <w:rsid w:val="00FF3348"/>
    <w:rsid w:val="00FF3ECC"/>
    <w:rsid w:val="00FF5F40"/>
    <w:rsid w:val="0332254C"/>
    <w:rsid w:val="06E239F3"/>
    <w:rsid w:val="0EAD05A6"/>
    <w:rsid w:val="11727F7C"/>
    <w:rsid w:val="16193649"/>
    <w:rsid w:val="176B4FE7"/>
    <w:rsid w:val="185D0D21"/>
    <w:rsid w:val="1AC05F03"/>
    <w:rsid w:val="24684777"/>
    <w:rsid w:val="249D6901"/>
    <w:rsid w:val="282704D9"/>
    <w:rsid w:val="2A2B3075"/>
    <w:rsid w:val="2C692ECC"/>
    <w:rsid w:val="3D4831FC"/>
    <w:rsid w:val="435E563C"/>
    <w:rsid w:val="57990AC1"/>
    <w:rsid w:val="58C94080"/>
    <w:rsid w:val="65D9139F"/>
    <w:rsid w:val="6E011B2E"/>
    <w:rsid w:val="78115109"/>
    <w:rsid w:val="7A2E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qFormat="1" w:unhideWhenUsed="0" w:uiPriority="0" w:semiHidden="0" w:name="index 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99" w:name="Normal Indent" w:locked="1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 w:locked="1"/>
    <w:lsdException w:qFormat="1" w:unhideWhenUsed="0" w:uiPriority="0" w:semiHidden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qFormat="1" w:unhideWhenUsed="0" w:uiPriority="0" w:semiHidden="0" w:name="footnote reference"/>
    <w:lsdException w:qFormat="1" w:unhideWhenUsed="0" w:uiPriority="0" w:semiHidden="0" w:name="annotation reference"/>
    <w:lsdException w:uiPriority="99" w:name="line number" w:locked="1"/>
    <w:lsdException w:qFormat="1" w:unhideWhenUsed="0" w:uiPriority="0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nhideWhenUsed="0" w:uiPriority="0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qFormat="1" w:unhideWhenUsed="0" w:uiPriority="0" w:semiHidden="0" w:name="Body Text 2"/>
    <w:lsdException w:uiPriority="99" w:name="Body Text 3" w:locked="1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 w:locked="1"/>
    <w:lsdException w:qFormat="1" w:unhideWhenUsed="0" w:uiPriority="0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qFormat="1" w:unhideWhenUsed="0" w:uiPriority="0" w:semiHidden="0" w:name="HTML Preformatted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semiHidden="0" w:name="Normal Table"/>
    <w:lsdException w:qFormat="1" w:unhideWhenUsed="0" w:uiPriority="0" w:semiHidden="0" w:name="annotation subject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0" w:semiHidden="0" w:name="Balloon Text"/>
    <w:lsdException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5"/>
    <w:qFormat/>
    <w:uiPriority w:val="0"/>
    <w:pPr>
      <w:keepNext/>
      <w:spacing w:afterLines="100"/>
      <w:jc w:val="center"/>
      <w:outlineLvl w:val="0"/>
    </w:pPr>
    <w:rPr>
      <w:rFonts w:eastAsia="方正大标宋简体"/>
      <w:kern w:val="0"/>
      <w:szCs w:val="21"/>
    </w:rPr>
  </w:style>
  <w:style w:type="paragraph" w:styleId="3">
    <w:name w:val="heading 2"/>
    <w:basedOn w:val="1"/>
    <w:next w:val="1"/>
    <w:link w:val="46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47"/>
    <w:qFormat/>
    <w:uiPriority w:val="0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paragraph" w:styleId="5">
    <w:name w:val="heading 4"/>
    <w:basedOn w:val="1"/>
    <w:next w:val="1"/>
    <w:link w:val="48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kern w:val="0"/>
      <w:sz w:val="28"/>
      <w:szCs w:val="28"/>
    </w:rPr>
  </w:style>
  <w:style w:type="character" w:default="1" w:styleId="35">
    <w:name w:val="Default Paragraph Font"/>
    <w:unhideWhenUsed/>
    <w:uiPriority w:val="1"/>
  </w:style>
  <w:style w:type="table" w:default="1" w:styleId="4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subject"/>
    <w:basedOn w:val="7"/>
    <w:next w:val="7"/>
    <w:link w:val="59"/>
    <w:qFormat/>
    <w:uiPriority w:val="0"/>
    <w:rPr>
      <w:b/>
      <w:bCs/>
    </w:rPr>
  </w:style>
  <w:style w:type="paragraph" w:styleId="7">
    <w:name w:val="annotation text"/>
    <w:basedOn w:val="1"/>
    <w:link w:val="58"/>
    <w:qFormat/>
    <w:uiPriority w:val="0"/>
    <w:pPr>
      <w:jc w:val="left"/>
    </w:pPr>
    <w:rPr>
      <w:kern w:val="0"/>
      <w:sz w:val="24"/>
    </w:rPr>
  </w:style>
  <w:style w:type="paragraph" w:styleId="8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9">
    <w:name w:val="caption"/>
    <w:basedOn w:val="1"/>
    <w:next w:val="1"/>
    <w:qFormat/>
    <w:uiPriority w:val="0"/>
    <w:pPr>
      <w:spacing w:before="152" w:after="160"/>
    </w:pPr>
    <w:rPr>
      <w:rFonts w:ascii="Arial" w:hAnsi="Arial" w:eastAsia="黑体"/>
      <w:szCs w:val="20"/>
    </w:rPr>
  </w:style>
  <w:style w:type="paragraph" w:styleId="10">
    <w:name w:val="Document Map"/>
    <w:basedOn w:val="1"/>
    <w:link w:val="63"/>
    <w:qFormat/>
    <w:uiPriority w:val="0"/>
    <w:pPr>
      <w:shd w:val="clear" w:color="auto" w:fill="000080"/>
    </w:pPr>
    <w:rPr>
      <w:kern w:val="0"/>
      <w:sz w:val="24"/>
    </w:rPr>
  </w:style>
  <w:style w:type="paragraph" w:styleId="11">
    <w:name w:val="Body Text"/>
    <w:basedOn w:val="1"/>
    <w:link w:val="49"/>
    <w:qFormat/>
    <w:uiPriority w:val="0"/>
    <w:pPr>
      <w:spacing w:line="540" w:lineRule="exact"/>
      <w:jc w:val="center"/>
    </w:pPr>
    <w:rPr>
      <w:rFonts w:ascii="宋体"/>
      <w:b/>
      <w:bCs/>
      <w:kern w:val="0"/>
      <w:sz w:val="24"/>
    </w:rPr>
  </w:style>
  <w:style w:type="paragraph" w:styleId="12">
    <w:name w:val="Body Text Indent"/>
    <w:basedOn w:val="1"/>
    <w:link w:val="52"/>
    <w:qFormat/>
    <w:uiPriority w:val="0"/>
    <w:pPr>
      <w:autoSpaceDE w:val="0"/>
      <w:autoSpaceDN w:val="0"/>
      <w:adjustRightInd w:val="0"/>
      <w:spacing w:line="440" w:lineRule="exact"/>
      <w:ind w:firstLine="480"/>
      <w:jc w:val="left"/>
    </w:pPr>
    <w:rPr>
      <w:rFonts w:ascii="宋体"/>
      <w:kern w:val="0"/>
      <w:sz w:val="20"/>
      <w:szCs w:val="20"/>
    </w:rPr>
  </w:style>
  <w:style w:type="paragraph" w:styleId="13">
    <w:name w:val="Block Text"/>
    <w:basedOn w:val="1"/>
    <w:qFormat/>
    <w:uiPriority w:val="0"/>
    <w:pPr>
      <w:ind w:left="-315" w:leftChars="-150" w:right="-315" w:rightChars="-150" w:firstLine="720" w:firstLineChars="300"/>
    </w:pPr>
    <w:rPr>
      <w:kern w:val="0"/>
      <w:sz w:val="24"/>
    </w:rPr>
  </w:style>
  <w:style w:type="paragraph" w:styleId="14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15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16">
    <w:name w:val="Plain Text"/>
    <w:basedOn w:val="1"/>
    <w:link w:val="62"/>
    <w:qFormat/>
    <w:uiPriority w:val="0"/>
    <w:rPr>
      <w:rFonts w:ascii="宋体" w:hAnsi="Courier New"/>
      <w:kern w:val="0"/>
      <w:szCs w:val="21"/>
    </w:rPr>
  </w:style>
  <w:style w:type="paragraph" w:styleId="17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18">
    <w:name w:val="Date"/>
    <w:basedOn w:val="1"/>
    <w:next w:val="1"/>
    <w:link w:val="72"/>
    <w:qFormat/>
    <w:uiPriority w:val="0"/>
    <w:rPr>
      <w:rFonts w:ascii="仿宋_GB2312" w:eastAsia="仿宋_GB2312"/>
      <w:kern w:val="0"/>
      <w:sz w:val="20"/>
      <w:szCs w:val="20"/>
    </w:rPr>
  </w:style>
  <w:style w:type="paragraph" w:styleId="19">
    <w:name w:val="Body Text Indent 2"/>
    <w:basedOn w:val="1"/>
    <w:link w:val="74"/>
    <w:qFormat/>
    <w:uiPriority w:val="0"/>
    <w:pPr>
      <w:spacing w:after="120" w:line="480" w:lineRule="auto"/>
      <w:ind w:left="200" w:leftChars="200"/>
    </w:pPr>
    <w:rPr>
      <w:kern w:val="0"/>
      <w:sz w:val="20"/>
      <w:szCs w:val="20"/>
    </w:rPr>
  </w:style>
  <w:style w:type="paragraph" w:styleId="20">
    <w:name w:val="Balloon Text"/>
    <w:basedOn w:val="1"/>
    <w:link w:val="60"/>
    <w:qFormat/>
    <w:uiPriority w:val="0"/>
    <w:rPr>
      <w:kern w:val="0"/>
      <w:sz w:val="18"/>
      <w:szCs w:val="18"/>
    </w:rPr>
  </w:style>
  <w:style w:type="paragraph" w:styleId="21">
    <w:name w:val="footer"/>
    <w:basedOn w:val="1"/>
    <w:link w:val="54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20"/>
      <w:szCs w:val="20"/>
    </w:rPr>
  </w:style>
  <w:style w:type="paragraph" w:styleId="22">
    <w:name w:val="header"/>
    <w:basedOn w:val="1"/>
    <w:link w:val="5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23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24">
    <w:name w:val="toc 4"/>
    <w:basedOn w:val="1"/>
    <w:next w:val="1"/>
    <w:uiPriority w:val="0"/>
    <w:pPr>
      <w:ind w:left="630"/>
      <w:jc w:val="left"/>
    </w:pPr>
    <w:rPr>
      <w:sz w:val="18"/>
      <w:szCs w:val="18"/>
    </w:rPr>
  </w:style>
  <w:style w:type="paragraph" w:styleId="25">
    <w:name w:val="footnote text"/>
    <w:basedOn w:val="1"/>
    <w:link w:val="116"/>
    <w:qFormat/>
    <w:uiPriority w:val="0"/>
    <w:pPr>
      <w:snapToGrid w:val="0"/>
      <w:spacing w:line="300" w:lineRule="auto"/>
      <w:jc w:val="left"/>
    </w:pPr>
    <w:rPr>
      <w:kern w:val="0"/>
      <w:sz w:val="18"/>
      <w:szCs w:val="18"/>
    </w:rPr>
  </w:style>
  <w:style w:type="paragraph" w:styleId="26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27">
    <w:name w:val="Body Text Indent 3"/>
    <w:basedOn w:val="1"/>
    <w:link w:val="71"/>
    <w:qFormat/>
    <w:uiPriority w:val="0"/>
    <w:pPr>
      <w:spacing w:line="300" w:lineRule="auto"/>
      <w:ind w:right="-76" w:firstLine="440"/>
      <w:jc w:val="left"/>
    </w:pPr>
    <w:rPr>
      <w:rFonts w:ascii="宋体" w:hAnsi="宋体"/>
      <w:kern w:val="0"/>
      <w:sz w:val="24"/>
    </w:rPr>
  </w:style>
  <w:style w:type="paragraph" w:styleId="28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29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30">
    <w:name w:val="Body Text 2"/>
    <w:basedOn w:val="1"/>
    <w:link w:val="73"/>
    <w:qFormat/>
    <w:uiPriority w:val="0"/>
    <w:pPr>
      <w:spacing w:after="120" w:line="480" w:lineRule="auto"/>
    </w:pPr>
    <w:rPr>
      <w:kern w:val="0"/>
      <w:sz w:val="20"/>
      <w:szCs w:val="20"/>
    </w:rPr>
  </w:style>
  <w:style w:type="paragraph" w:styleId="31">
    <w:name w:val="HTML Preformatted"/>
    <w:basedOn w:val="1"/>
    <w:link w:val="97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/>
      <w:kern w:val="0"/>
      <w:sz w:val="24"/>
    </w:rPr>
  </w:style>
  <w:style w:type="paragraph" w:styleId="32">
    <w:name w:val="Normal (Web)"/>
    <w:basedOn w:val="1"/>
    <w:qFormat/>
    <w:uiPriority w:val="0"/>
    <w:pPr>
      <w:widowControl/>
      <w:wordWrap w:val="0"/>
      <w:spacing w:before="100" w:beforeAutospacing="1" w:after="100" w:afterAutospacing="1" w:line="432" w:lineRule="auto"/>
      <w:jc w:val="left"/>
    </w:pPr>
    <w:rPr>
      <w:rFonts w:ascii="宋体" w:hAnsi="宋体" w:cs="宋体"/>
      <w:kern w:val="0"/>
      <w:szCs w:val="21"/>
    </w:rPr>
  </w:style>
  <w:style w:type="paragraph" w:styleId="33">
    <w:name w:val="index 1"/>
    <w:basedOn w:val="1"/>
    <w:next w:val="1"/>
    <w:qFormat/>
    <w:uiPriority w:val="0"/>
    <w:pPr>
      <w:spacing w:line="300" w:lineRule="auto"/>
    </w:pPr>
  </w:style>
  <w:style w:type="paragraph" w:styleId="34">
    <w:name w:val="Title"/>
    <w:basedOn w:val="1"/>
    <w:link w:val="115"/>
    <w:qFormat/>
    <w:uiPriority w:val="0"/>
    <w:pPr>
      <w:spacing w:before="240" w:after="60"/>
      <w:jc w:val="center"/>
      <w:outlineLvl w:val="0"/>
    </w:pPr>
    <w:rPr>
      <w:rFonts w:ascii="Arial" w:hAnsi="Arial"/>
      <w:b/>
      <w:bCs/>
      <w:kern w:val="0"/>
      <w:sz w:val="32"/>
      <w:szCs w:val="32"/>
    </w:rPr>
  </w:style>
  <w:style w:type="character" w:styleId="36">
    <w:name w:val="Strong"/>
    <w:qFormat/>
    <w:uiPriority w:val="0"/>
    <w:rPr>
      <w:rFonts w:cs="Times New Roman"/>
      <w:b/>
    </w:rPr>
  </w:style>
  <w:style w:type="character" w:styleId="37">
    <w:name w:val="page number"/>
    <w:qFormat/>
    <w:uiPriority w:val="0"/>
    <w:rPr>
      <w:rFonts w:cs="Times New Roman"/>
    </w:rPr>
  </w:style>
  <w:style w:type="character" w:styleId="38">
    <w:name w:val="FollowedHyperlink"/>
    <w:qFormat/>
    <w:uiPriority w:val="0"/>
    <w:rPr>
      <w:rFonts w:cs="Times New Roman"/>
      <w:color w:val="800080"/>
      <w:u w:val="single"/>
    </w:rPr>
  </w:style>
  <w:style w:type="character" w:styleId="39">
    <w:name w:val="Emphasis"/>
    <w:qFormat/>
    <w:uiPriority w:val="0"/>
    <w:rPr>
      <w:rFonts w:cs="Times New Roman"/>
      <w:i/>
    </w:rPr>
  </w:style>
  <w:style w:type="character" w:styleId="40">
    <w:name w:val="Hyperlink"/>
    <w:qFormat/>
    <w:uiPriority w:val="0"/>
    <w:rPr>
      <w:rFonts w:cs="Times New Roman"/>
      <w:color w:val="0000FF"/>
      <w:u w:val="single"/>
    </w:rPr>
  </w:style>
  <w:style w:type="character" w:styleId="41">
    <w:name w:val="annotation reference"/>
    <w:qFormat/>
    <w:uiPriority w:val="0"/>
    <w:rPr>
      <w:rFonts w:cs="Times New Roman"/>
      <w:sz w:val="21"/>
      <w:szCs w:val="21"/>
    </w:rPr>
  </w:style>
  <w:style w:type="character" w:styleId="42">
    <w:name w:val="footnote reference"/>
    <w:qFormat/>
    <w:uiPriority w:val="0"/>
    <w:rPr>
      <w:rFonts w:cs="Times New Roman"/>
      <w:vertAlign w:val="superscript"/>
    </w:rPr>
  </w:style>
  <w:style w:type="table" w:styleId="44">
    <w:name w:val="Table Grid"/>
    <w:basedOn w:val="43"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5">
    <w:name w:val="Heading 1 Char"/>
    <w:qFormat/>
    <w:locked/>
    <w:uiPriority w:val="0"/>
    <w:rPr>
      <w:rFonts w:ascii="宋体" w:eastAsia="宋体" w:cs="Times New Roman"/>
      <w:spacing w:val="-20"/>
      <w:kern w:val="2"/>
      <w:sz w:val="21"/>
    </w:rPr>
  </w:style>
  <w:style w:type="character" w:customStyle="1" w:styleId="46">
    <w:name w:val="标题 2 Char"/>
    <w:link w:val="3"/>
    <w:qFormat/>
    <w:locked/>
    <w:uiPriority w:val="0"/>
    <w:rPr>
      <w:rFonts w:ascii="Cambria" w:hAnsi="Cambria" w:eastAsia="宋体" w:cs="Times New Roman"/>
      <w:b/>
      <w:bCs/>
      <w:sz w:val="32"/>
      <w:szCs w:val="32"/>
    </w:rPr>
  </w:style>
  <w:style w:type="character" w:customStyle="1" w:styleId="47">
    <w:name w:val="标题 3 Char"/>
    <w:link w:val="4"/>
    <w:qFormat/>
    <w:locked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48">
    <w:name w:val="标题 4 Char"/>
    <w:link w:val="5"/>
    <w:qFormat/>
    <w:locked/>
    <w:uiPriority w:val="0"/>
    <w:rPr>
      <w:rFonts w:ascii="Arial" w:hAnsi="Arial" w:eastAsia="黑体" w:cs="Times New Roman"/>
      <w:b/>
      <w:bCs/>
      <w:sz w:val="28"/>
      <w:szCs w:val="28"/>
    </w:rPr>
  </w:style>
  <w:style w:type="character" w:customStyle="1" w:styleId="49">
    <w:name w:val="正文文本 Char"/>
    <w:link w:val="11"/>
    <w:qFormat/>
    <w:locked/>
    <w:uiPriority w:val="0"/>
    <w:rPr>
      <w:rFonts w:ascii="宋体" w:hAnsi="Times New Roman" w:eastAsia="宋体" w:cs="Times New Roman"/>
      <w:b/>
      <w:bCs/>
      <w:sz w:val="24"/>
      <w:szCs w:val="24"/>
    </w:rPr>
  </w:style>
  <w:style w:type="character" w:customStyle="1" w:styleId="50">
    <w:name w:val="Header Char"/>
    <w:qFormat/>
    <w:locked/>
    <w:uiPriority w:val="0"/>
    <w:rPr>
      <w:rFonts w:cs="Times New Roman"/>
      <w:kern w:val="2"/>
      <w:sz w:val="18"/>
    </w:rPr>
  </w:style>
  <w:style w:type="character" w:customStyle="1" w:styleId="51">
    <w:name w:val="页眉 Char"/>
    <w:link w:val="22"/>
    <w:qFormat/>
    <w:locked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52">
    <w:name w:val="正文文本缩进 Char"/>
    <w:link w:val="12"/>
    <w:qFormat/>
    <w:locked/>
    <w:uiPriority w:val="0"/>
    <w:rPr>
      <w:rFonts w:ascii="宋体" w:hAnsi="Times New Roman" w:eastAsia="宋体" w:cs="Times New Roman"/>
      <w:kern w:val="0"/>
      <w:sz w:val="20"/>
      <w:szCs w:val="20"/>
    </w:rPr>
  </w:style>
  <w:style w:type="character" w:customStyle="1" w:styleId="53">
    <w:name w:val="Footer Char"/>
    <w:qFormat/>
    <w:locked/>
    <w:uiPriority w:val="0"/>
    <w:rPr>
      <w:rFonts w:cs="Times New Roman"/>
      <w:kern w:val="2"/>
      <w:sz w:val="18"/>
    </w:rPr>
  </w:style>
  <w:style w:type="character" w:customStyle="1" w:styleId="54">
    <w:name w:val="页脚 Char"/>
    <w:link w:val="21"/>
    <w:qFormat/>
    <w:locked/>
    <w:uiPriority w:val="0"/>
    <w:rPr>
      <w:rFonts w:ascii="Times New Roman" w:hAnsi="Times New Roman" w:eastAsia="宋体" w:cs="Times New Roman"/>
      <w:sz w:val="20"/>
      <w:szCs w:val="20"/>
    </w:rPr>
  </w:style>
  <w:style w:type="paragraph" w:customStyle="1" w:styleId="55">
    <w:name w:val="Char Char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56">
    <w:name w:val="Char"/>
    <w:basedOn w:val="1"/>
    <w:qFormat/>
    <w:uiPriority w:val="0"/>
  </w:style>
  <w:style w:type="paragraph" w:customStyle="1" w:styleId="57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58">
    <w:name w:val="批注文字 Char"/>
    <w:link w:val="7"/>
    <w:qFormat/>
    <w:locked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59">
    <w:name w:val="批注主题 Char"/>
    <w:link w:val="6"/>
    <w:qFormat/>
    <w:locked/>
    <w:uiPriority w:val="0"/>
    <w:rPr>
      <w:rFonts w:ascii="Times New Roman" w:hAnsi="Times New Roman" w:eastAsia="宋体" w:cs="Times New Roman"/>
      <w:b/>
      <w:bCs/>
      <w:sz w:val="24"/>
      <w:szCs w:val="24"/>
    </w:rPr>
  </w:style>
  <w:style w:type="character" w:customStyle="1" w:styleId="60">
    <w:name w:val="批注框文本 Char"/>
    <w:link w:val="20"/>
    <w:qFormat/>
    <w:locked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61">
    <w:name w:val="修订1"/>
    <w:hidden/>
    <w:semiHidden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62">
    <w:name w:val="纯文本 Char"/>
    <w:link w:val="16"/>
    <w:qFormat/>
    <w:locked/>
    <w:uiPriority w:val="0"/>
    <w:rPr>
      <w:rFonts w:ascii="宋体" w:hAnsi="Courier New" w:eastAsia="宋体" w:cs="Courier New"/>
      <w:sz w:val="21"/>
      <w:szCs w:val="21"/>
    </w:rPr>
  </w:style>
  <w:style w:type="character" w:customStyle="1" w:styleId="63">
    <w:name w:val="文档结构图 Char"/>
    <w:link w:val="10"/>
    <w:qFormat/>
    <w:locked/>
    <w:uiPriority w:val="0"/>
    <w:rPr>
      <w:rFonts w:ascii="Times New Roman" w:hAnsi="Times New Roman" w:eastAsia="宋体" w:cs="Times New Roman"/>
      <w:sz w:val="24"/>
      <w:szCs w:val="24"/>
      <w:shd w:val="clear" w:color="auto" w:fill="000080"/>
    </w:rPr>
  </w:style>
  <w:style w:type="paragraph" w:customStyle="1" w:styleId="64">
    <w:name w:val="列出段落1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character" w:customStyle="1" w:styleId="65">
    <w:name w:val="标题 1 Char"/>
    <w:link w:val="2"/>
    <w:qFormat/>
    <w:locked/>
    <w:uiPriority w:val="0"/>
    <w:rPr>
      <w:rFonts w:ascii="Times New Roman" w:hAnsi="Times New Roman" w:eastAsia="方正大标宋简体" w:cs="Times New Roman"/>
      <w:sz w:val="21"/>
      <w:szCs w:val="21"/>
    </w:rPr>
  </w:style>
  <w:style w:type="character" w:customStyle="1" w:styleId="66">
    <w:name w:val="页眉 Char1"/>
    <w:qFormat/>
    <w:uiPriority w:val="0"/>
    <w:rPr>
      <w:rFonts w:eastAsia="宋体"/>
      <w:kern w:val="2"/>
      <w:sz w:val="18"/>
      <w:lang w:val="en-US" w:eastAsia="zh-CN"/>
    </w:rPr>
  </w:style>
  <w:style w:type="character" w:customStyle="1" w:styleId="67">
    <w:name w:val="content_normal1"/>
    <w:qFormat/>
    <w:uiPriority w:val="0"/>
    <w:rPr>
      <w:color w:val="000033"/>
      <w:sz w:val="17"/>
    </w:rPr>
  </w:style>
  <w:style w:type="character" w:customStyle="1" w:styleId="68">
    <w:name w:val="biaoti041"/>
    <w:qFormat/>
    <w:uiPriority w:val="0"/>
    <w:rPr>
      <w:b/>
      <w:color w:val="003399"/>
      <w:sz w:val="34"/>
    </w:rPr>
  </w:style>
  <w:style w:type="character" w:customStyle="1" w:styleId="69">
    <w:name w:val="highlight1"/>
    <w:qFormat/>
    <w:uiPriority w:val="0"/>
    <w:rPr>
      <w:shd w:val="clear" w:color="auto" w:fill="FFFF00"/>
    </w:rPr>
  </w:style>
  <w:style w:type="character" w:customStyle="1" w:styleId="70">
    <w:name w:val="页眉 Char Char"/>
    <w:qFormat/>
    <w:uiPriority w:val="0"/>
    <w:rPr>
      <w:rFonts w:eastAsia="宋体"/>
      <w:kern w:val="2"/>
      <w:sz w:val="18"/>
      <w:lang w:val="en-US" w:eastAsia="zh-CN"/>
    </w:rPr>
  </w:style>
  <w:style w:type="character" w:customStyle="1" w:styleId="71">
    <w:name w:val="正文文本缩进 3 Char"/>
    <w:link w:val="27"/>
    <w:qFormat/>
    <w:locked/>
    <w:uiPriority w:val="0"/>
    <w:rPr>
      <w:rFonts w:ascii="宋体" w:hAnsi="宋体" w:eastAsia="宋体" w:cs="Times New Roman"/>
      <w:sz w:val="24"/>
      <w:szCs w:val="24"/>
    </w:rPr>
  </w:style>
  <w:style w:type="character" w:customStyle="1" w:styleId="72">
    <w:name w:val="日期 Char"/>
    <w:link w:val="18"/>
    <w:qFormat/>
    <w:locked/>
    <w:uiPriority w:val="0"/>
    <w:rPr>
      <w:rFonts w:ascii="仿宋_GB2312" w:hAnsi="Times New Roman" w:eastAsia="仿宋_GB2312" w:cs="Times New Roman"/>
      <w:sz w:val="20"/>
      <w:szCs w:val="20"/>
    </w:rPr>
  </w:style>
  <w:style w:type="character" w:customStyle="1" w:styleId="73">
    <w:name w:val="正文文本 2 Char"/>
    <w:link w:val="30"/>
    <w:qFormat/>
    <w:locked/>
    <w:uiPriority w:val="0"/>
    <w:rPr>
      <w:rFonts w:ascii="Times New Roman" w:hAnsi="Times New Roman" w:eastAsia="宋体" w:cs="Times New Roman"/>
      <w:sz w:val="20"/>
      <w:szCs w:val="20"/>
    </w:rPr>
  </w:style>
  <w:style w:type="character" w:customStyle="1" w:styleId="74">
    <w:name w:val="正文文本缩进 2 Char"/>
    <w:link w:val="19"/>
    <w:qFormat/>
    <w:locked/>
    <w:uiPriority w:val="0"/>
    <w:rPr>
      <w:rFonts w:ascii="Times New Roman" w:hAnsi="Times New Roman" w:eastAsia="宋体" w:cs="Times New Roman"/>
      <w:sz w:val="20"/>
      <w:szCs w:val="20"/>
    </w:rPr>
  </w:style>
  <w:style w:type="paragraph" w:customStyle="1" w:styleId="75">
    <w:name w:val="_Style 4"/>
    <w:basedOn w:val="1"/>
    <w:qFormat/>
    <w:uiPriority w:val="0"/>
    <w:rPr>
      <w:szCs w:val="20"/>
    </w:rPr>
  </w:style>
  <w:style w:type="paragraph" w:customStyle="1" w:styleId="76">
    <w:name w:val="xl30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300" w:lineRule="auto"/>
      <w:jc w:val="left"/>
      <w:textAlignment w:val="center"/>
    </w:pPr>
    <w:rPr>
      <w:rFonts w:ascii="黑体" w:hAnsi="宋体" w:eastAsia="黑体"/>
      <w:kern w:val="0"/>
      <w:sz w:val="22"/>
      <w:szCs w:val="22"/>
    </w:rPr>
  </w:style>
  <w:style w:type="paragraph" w:customStyle="1" w:styleId="77">
    <w:name w:val="Char Char Char Char Char Char Char Char Char Char Char Char Char Char Char Char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78">
    <w:name w:val="小标题"/>
    <w:qFormat/>
    <w:uiPriority w:val="0"/>
    <w:pPr>
      <w:spacing w:line="300" w:lineRule="auto"/>
      <w:ind w:firstLine="175" w:firstLineChars="175"/>
      <w:jc w:val="center"/>
      <w:outlineLvl w:val="1"/>
    </w:pPr>
    <w:rPr>
      <w:rFonts w:ascii="黑体" w:hAnsi="宋体" w:eastAsia="黑体" w:cs="Times New Roman"/>
      <w:b/>
      <w:kern w:val="2"/>
      <w:sz w:val="24"/>
      <w:lang w:val="en-US" w:eastAsia="zh-CN" w:bidi="ar-SA"/>
    </w:rPr>
  </w:style>
  <w:style w:type="paragraph" w:customStyle="1" w:styleId="79">
    <w:name w:val="标题1-MY"/>
    <w:qFormat/>
    <w:uiPriority w:val="0"/>
    <w:pPr>
      <w:spacing w:line="300" w:lineRule="auto"/>
      <w:jc w:val="center"/>
      <w:outlineLvl w:val="0"/>
    </w:pPr>
    <w:rPr>
      <w:rFonts w:ascii="方正小标宋_GBK" w:hAnsi="Times New Roman" w:eastAsia="方正小标宋_GBK" w:cs="Times New Roman"/>
      <w:sz w:val="36"/>
      <w:lang w:val="en-US" w:eastAsia="zh-CN" w:bidi="ar-SA"/>
    </w:rPr>
  </w:style>
  <w:style w:type="paragraph" w:customStyle="1" w:styleId="80">
    <w:name w:val="正文 + 10 磅"/>
    <w:basedOn w:val="1"/>
    <w:qFormat/>
    <w:uiPriority w:val="0"/>
    <w:rPr>
      <w:sz w:val="15"/>
    </w:rPr>
  </w:style>
  <w:style w:type="paragraph" w:customStyle="1" w:styleId="81">
    <w:name w:val="style0"/>
    <w:basedOn w:val="1"/>
    <w:qFormat/>
    <w:uiPriority w:val="0"/>
    <w:pPr>
      <w:widowControl/>
      <w:spacing w:before="100" w:beforeAutospacing="1" w:after="100" w:afterAutospacing="1" w:line="300" w:lineRule="auto"/>
      <w:jc w:val="left"/>
      <w:textAlignment w:val="bottom"/>
    </w:pPr>
    <w:rPr>
      <w:kern w:val="0"/>
      <w:sz w:val="24"/>
    </w:rPr>
  </w:style>
  <w:style w:type="paragraph" w:customStyle="1" w:styleId="82">
    <w:name w:val="xl48"/>
    <w:basedOn w:val="1"/>
    <w:qFormat/>
    <w:uiPriority w:val="0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 w:line="300" w:lineRule="auto"/>
      <w:jc w:val="left"/>
      <w:textAlignment w:val="center"/>
    </w:pPr>
    <w:rPr>
      <w:rFonts w:ascii="宋体" w:hAnsi="宋体"/>
      <w:kern w:val="0"/>
      <w:sz w:val="22"/>
      <w:szCs w:val="22"/>
    </w:rPr>
  </w:style>
  <w:style w:type="paragraph" w:customStyle="1" w:styleId="83">
    <w:name w:val="样式3"/>
    <w:basedOn w:val="4"/>
    <w:qFormat/>
    <w:uiPriority w:val="0"/>
    <w:pPr>
      <w:spacing w:beforeLines="50" w:afterLines="50" w:line="240" w:lineRule="auto"/>
      <w:ind w:firstLine="200" w:firstLineChars="200"/>
    </w:pPr>
    <w:rPr>
      <w:rFonts w:ascii="黑体" w:eastAsia="黑体"/>
      <w:sz w:val="24"/>
      <w:szCs w:val="24"/>
    </w:rPr>
  </w:style>
  <w:style w:type="paragraph" w:customStyle="1" w:styleId="84">
    <w:name w:val="xl3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 w:line="300" w:lineRule="auto"/>
      <w:jc w:val="left"/>
      <w:textAlignment w:val="center"/>
    </w:pPr>
    <w:rPr>
      <w:rFonts w:ascii="黑体" w:hAnsi="宋体" w:eastAsia="黑体"/>
      <w:kern w:val="0"/>
      <w:sz w:val="22"/>
      <w:szCs w:val="22"/>
    </w:rPr>
  </w:style>
  <w:style w:type="paragraph" w:customStyle="1" w:styleId="85">
    <w:name w:val="font10"/>
    <w:basedOn w:val="1"/>
    <w:qFormat/>
    <w:uiPriority w:val="0"/>
    <w:pPr>
      <w:widowControl/>
      <w:spacing w:before="100" w:beforeAutospacing="1" w:after="100" w:afterAutospacing="1" w:line="300" w:lineRule="auto"/>
      <w:jc w:val="left"/>
    </w:pPr>
    <w:rPr>
      <w:kern w:val="0"/>
      <w:sz w:val="18"/>
      <w:szCs w:val="18"/>
    </w:rPr>
  </w:style>
  <w:style w:type="paragraph" w:customStyle="1" w:styleId="86">
    <w:name w:val="样式2"/>
    <w:basedOn w:val="3"/>
    <w:qFormat/>
    <w:uiPriority w:val="0"/>
    <w:pPr>
      <w:spacing w:beforeLines="100" w:afterLines="100" w:line="415" w:lineRule="auto"/>
      <w:ind w:firstLine="200" w:firstLineChars="200"/>
      <w:jc w:val="center"/>
    </w:pPr>
    <w:rPr>
      <w:rFonts w:ascii="Times New Roman" w:hAnsi="Times New Roman" w:eastAsia="黑体"/>
      <w:b w:val="0"/>
      <w:sz w:val="28"/>
      <w:szCs w:val="28"/>
    </w:rPr>
  </w:style>
  <w:style w:type="paragraph" w:customStyle="1" w:styleId="87">
    <w:name w:val="xl3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300" w:lineRule="auto"/>
      <w:jc w:val="center"/>
      <w:textAlignment w:val="center"/>
    </w:pPr>
    <w:rPr>
      <w:kern w:val="0"/>
      <w:sz w:val="22"/>
      <w:szCs w:val="22"/>
    </w:rPr>
  </w:style>
  <w:style w:type="paragraph" w:customStyle="1" w:styleId="88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9">
    <w:name w:val="xl51"/>
    <w:basedOn w:val="1"/>
    <w:qFormat/>
    <w:uiPriority w:val="0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 w:line="300" w:lineRule="auto"/>
      <w:jc w:val="left"/>
      <w:textAlignment w:val="center"/>
    </w:pPr>
    <w:rPr>
      <w:rFonts w:ascii="宋体" w:hAnsi="宋体"/>
      <w:kern w:val="0"/>
      <w:sz w:val="22"/>
      <w:szCs w:val="22"/>
    </w:rPr>
  </w:style>
  <w:style w:type="paragraph" w:customStyle="1" w:styleId="90">
    <w:name w:val="xl151"/>
    <w:basedOn w:val="81"/>
    <w:qFormat/>
    <w:uiPriority w:val="0"/>
    <w:pPr>
      <w:textAlignment w:val="center"/>
    </w:pPr>
    <w:rPr>
      <w:sz w:val="20"/>
      <w:szCs w:val="20"/>
    </w:rPr>
  </w:style>
  <w:style w:type="paragraph" w:customStyle="1" w:styleId="91">
    <w:name w:val="样式1"/>
    <w:basedOn w:val="2"/>
    <w:qFormat/>
    <w:uiPriority w:val="0"/>
    <w:pPr>
      <w:keepLines/>
      <w:spacing w:beforeLines="100" w:after="312"/>
    </w:pPr>
    <w:rPr>
      <w:rFonts w:ascii="黑体" w:eastAsia="黑体"/>
      <w:b/>
      <w:bCs/>
      <w:kern w:val="44"/>
      <w:sz w:val="32"/>
      <w:szCs w:val="32"/>
    </w:rPr>
  </w:style>
  <w:style w:type="paragraph" w:customStyle="1" w:styleId="92">
    <w:name w:val="_Style 2"/>
    <w:basedOn w:val="1"/>
    <w:qFormat/>
    <w:uiPriority w:val="0"/>
    <w:rPr>
      <w:szCs w:val="20"/>
    </w:rPr>
  </w:style>
  <w:style w:type="paragraph" w:customStyle="1" w:styleId="93">
    <w:name w:val="Default"/>
    <w:qFormat/>
    <w:uiPriority w:val="0"/>
    <w:pPr>
      <w:widowControl w:val="0"/>
      <w:autoSpaceDE w:val="0"/>
      <w:autoSpaceDN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94">
    <w:name w:val="Char Char11"/>
    <w:basedOn w:val="1"/>
    <w:qFormat/>
    <w:uiPriority w:val="0"/>
    <w:rPr>
      <w:rFonts w:ascii="Calibri" w:hAnsi="Calibri"/>
      <w:szCs w:val="22"/>
    </w:rPr>
  </w:style>
  <w:style w:type="character" w:customStyle="1" w:styleId="95">
    <w:name w:val="Char Char9"/>
    <w:qFormat/>
    <w:uiPriority w:val="0"/>
    <w:rPr>
      <w:rFonts w:ascii="宋体" w:hAnsi="宋体" w:eastAsia="宋体"/>
      <w:sz w:val="24"/>
    </w:rPr>
  </w:style>
  <w:style w:type="character" w:customStyle="1" w:styleId="96">
    <w:name w:val="eyu1"/>
    <w:qFormat/>
    <w:uiPriority w:val="0"/>
    <w:rPr>
      <w:color w:val="333333"/>
      <w:sz w:val="21"/>
    </w:rPr>
  </w:style>
  <w:style w:type="character" w:customStyle="1" w:styleId="97">
    <w:name w:val="HTML 预设格式 Char"/>
    <w:link w:val="31"/>
    <w:qFormat/>
    <w:locked/>
    <w:uiPriority w:val="0"/>
    <w:rPr>
      <w:rFonts w:ascii="Arial" w:hAnsi="Arial" w:eastAsia="宋体" w:cs="Arial"/>
      <w:kern w:val="0"/>
      <w:sz w:val="24"/>
      <w:szCs w:val="24"/>
    </w:rPr>
  </w:style>
  <w:style w:type="paragraph" w:customStyle="1" w:styleId="98">
    <w:name w:val="tgt2"/>
    <w:basedOn w:val="1"/>
    <w:qFormat/>
    <w:uiPriority w:val="0"/>
    <w:pPr>
      <w:widowControl/>
      <w:spacing w:after="107" w:line="360" w:lineRule="auto"/>
      <w:jc w:val="left"/>
    </w:pPr>
    <w:rPr>
      <w:rFonts w:ascii="宋体" w:hAnsi="宋体" w:cs="宋体"/>
      <w:b/>
      <w:bCs/>
      <w:kern w:val="0"/>
      <w:sz w:val="36"/>
      <w:szCs w:val="36"/>
    </w:rPr>
  </w:style>
  <w:style w:type="paragraph" w:customStyle="1" w:styleId="99">
    <w:name w:val="tgt1"/>
    <w:basedOn w:val="1"/>
    <w:uiPriority w:val="0"/>
    <w:pPr>
      <w:widowControl/>
      <w:spacing w:after="80"/>
      <w:jc w:val="left"/>
    </w:pPr>
    <w:rPr>
      <w:rFonts w:ascii="宋体" w:hAnsi="宋体" w:cs="宋体"/>
      <w:kern w:val="0"/>
      <w:sz w:val="24"/>
    </w:rPr>
  </w:style>
  <w:style w:type="character" w:customStyle="1" w:styleId="100">
    <w:name w:val="apple-style-span"/>
    <w:qFormat/>
    <w:uiPriority w:val="0"/>
    <w:rPr>
      <w:rFonts w:cs="Times New Roman"/>
    </w:rPr>
  </w:style>
  <w:style w:type="character" w:customStyle="1" w:styleId="101">
    <w:name w:val="Char Char1"/>
    <w:qFormat/>
    <w:uiPriority w:val="0"/>
    <w:rPr>
      <w:rFonts w:ascii="Times New Roman" w:hAnsi="Times New Roman" w:eastAsia="宋体"/>
      <w:sz w:val="18"/>
    </w:rPr>
  </w:style>
  <w:style w:type="paragraph" w:customStyle="1" w:styleId="102">
    <w:name w:val="明显引用1"/>
    <w:basedOn w:val="1"/>
    <w:next w:val="1"/>
    <w:link w:val="103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kern w:val="0"/>
      <w:sz w:val="24"/>
    </w:rPr>
  </w:style>
  <w:style w:type="character" w:customStyle="1" w:styleId="103">
    <w:name w:val="明显引用 Char"/>
    <w:link w:val="102"/>
    <w:qFormat/>
    <w:locked/>
    <w:uiPriority w:val="0"/>
    <w:rPr>
      <w:rFonts w:ascii="Times New Roman" w:hAnsi="Times New Roman" w:eastAsia="宋体" w:cs="Times New Roman"/>
      <w:b/>
      <w:bCs/>
      <w:i/>
      <w:iCs/>
      <w:color w:val="4F81BD"/>
      <w:sz w:val="24"/>
      <w:szCs w:val="24"/>
    </w:rPr>
  </w:style>
  <w:style w:type="character" w:customStyle="1" w:styleId="104">
    <w:name w:val="页眉 Char Char Char Char"/>
    <w:qFormat/>
    <w:uiPriority w:val="0"/>
    <w:rPr>
      <w:rFonts w:eastAsia="宋体"/>
      <w:kern w:val="2"/>
      <w:sz w:val="18"/>
      <w:lang w:val="en-US" w:eastAsia="zh-CN"/>
    </w:rPr>
  </w:style>
  <w:style w:type="character" w:customStyle="1" w:styleId="105">
    <w:name w:val="Char Char Char Char Char"/>
    <w:qFormat/>
    <w:uiPriority w:val="0"/>
    <w:rPr>
      <w:rFonts w:eastAsia="宋体"/>
      <w:kern w:val="2"/>
      <w:sz w:val="18"/>
      <w:lang w:val="en-US" w:eastAsia="zh-CN"/>
    </w:rPr>
  </w:style>
  <w:style w:type="character" w:customStyle="1" w:styleId="106">
    <w:name w:val="label_list1"/>
    <w:qFormat/>
    <w:uiPriority w:val="0"/>
    <w:rPr>
      <w:rFonts w:cs="Times New Roman"/>
    </w:rPr>
  </w:style>
  <w:style w:type="character" w:customStyle="1" w:styleId="107">
    <w:name w:val="Char Char Char Char"/>
    <w:qFormat/>
    <w:uiPriority w:val="0"/>
    <w:rPr>
      <w:rFonts w:eastAsia="宋体"/>
      <w:kern w:val="2"/>
      <w:sz w:val="18"/>
      <w:lang w:val="en-US" w:eastAsia="zh-CN"/>
    </w:rPr>
  </w:style>
  <w:style w:type="character" w:customStyle="1" w:styleId="108">
    <w:name w:val="Char Char4"/>
    <w:qFormat/>
    <w:uiPriority w:val="0"/>
    <w:rPr>
      <w:b/>
      <w:kern w:val="2"/>
    </w:rPr>
  </w:style>
  <w:style w:type="character" w:customStyle="1" w:styleId="109">
    <w:name w:val="mw-headline"/>
    <w:qFormat/>
    <w:uiPriority w:val="0"/>
  </w:style>
  <w:style w:type="character" w:customStyle="1" w:styleId="110">
    <w:name w:val="Char Char13"/>
    <w:qFormat/>
    <w:uiPriority w:val="0"/>
    <w:rPr>
      <w:rFonts w:ascii="Times New Roman" w:hAnsi="Times New Roman" w:eastAsia="宋体"/>
      <w:sz w:val="18"/>
    </w:rPr>
  </w:style>
  <w:style w:type="character" w:customStyle="1" w:styleId="111">
    <w:name w:val="Char Char16"/>
    <w:qFormat/>
    <w:uiPriority w:val="0"/>
    <w:rPr>
      <w:rFonts w:ascii="宋体" w:hAnsi="宋体" w:eastAsia="宋体"/>
      <w:spacing w:val="-20"/>
      <w:kern w:val="2"/>
      <w:sz w:val="21"/>
    </w:rPr>
  </w:style>
  <w:style w:type="character" w:customStyle="1" w:styleId="112">
    <w:name w:val="Char Char12"/>
    <w:qFormat/>
    <w:uiPriority w:val="0"/>
    <w:rPr>
      <w:rFonts w:ascii="宋体" w:hAnsi="宋体" w:eastAsia="宋体"/>
      <w:sz w:val="24"/>
    </w:rPr>
  </w:style>
  <w:style w:type="character" w:customStyle="1" w:styleId="113">
    <w:name w:val="Char Char10"/>
    <w:qFormat/>
    <w:uiPriority w:val="0"/>
    <w:rPr>
      <w:rFonts w:ascii="仿宋_GB2312" w:hAnsi="Times New Roman" w:eastAsia="仿宋_GB2312"/>
      <w:kern w:val="2"/>
      <w:sz w:val="32"/>
    </w:rPr>
  </w:style>
  <w:style w:type="character" w:customStyle="1" w:styleId="114">
    <w:name w:val="Footnote Text Char"/>
    <w:qFormat/>
    <w:locked/>
    <w:uiPriority w:val="99"/>
    <w:rPr>
      <w:rFonts w:ascii="Times New Roman" w:hAnsi="Times New Roman" w:eastAsia="宋体"/>
      <w:sz w:val="18"/>
    </w:rPr>
  </w:style>
  <w:style w:type="character" w:customStyle="1" w:styleId="115">
    <w:name w:val="标题 Char"/>
    <w:link w:val="34"/>
    <w:qFormat/>
    <w:locked/>
    <w:uiPriority w:val="0"/>
    <w:rPr>
      <w:rFonts w:ascii="Arial" w:hAnsi="Arial" w:eastAsia="宋体" w:cs="Arial"/>
      <w:b/>
      <w:bCs/>
      <w:sz w:val="32"/>
      <w:szCs w:val="32"/>
    </w:rPr>
  </w:style>
  <w:style w:type="character" w:customStyle="1" w:styleId="116">
    <w:name w:val="脚注文本 Char"/>
    <w:link w:val="25"/>
    <w:qFormat/>
    <w:locked/>
    <w:uiPriority w:val="0"/>
    <w:rPr>
      <w:rFonts w:ascii="Times New Roman" w:hAnsi="Times New Roman" w:cs="Times New Roman"/>
      <w:sz w:val="18"/>
      <w:szCs w:val="18"/>
    </w:rPr>
  </w:style>
  <w:style w:type="character" w:customStyle="1" w:styleId="117">
    <w:name w:val="脚注文本 Char1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18">
    <w:name w:val="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119">
    <w:name w:val="Char Char"/>
    <w:qFormat/>
    <w:locked/>
    <w:uiPriority w:val="0"/>
    <w:rPr>
      <w:rFonts w:ascii="宋体" w:hAnsi="宋体" w:eastAsia="宋体"/>
      <w:kern w:val="2"/>
      <w:sz w:val="18"/>
      <w:lang w:val="en-US" w:eastAsia="zh-CN"/>
    </w:rPr>
  </w:style>
  <w:style w:type="character" w:customStyle="1" w:styleId="120">
    <w:name w:val="15"/>
    <w:qFormat/>
    <w:uiPriority w:val="0"/>
    <w:rPr>
      <w:rFonts w:cs="Times New Roman"/>
    </w:rPr>
  </w:style>
  <w:style w:type="paragraph" w:customStyle="1" w:styleId="121">
    <w:name w:val="xl45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 Unicode MS" w:hAnsi="Arial Unicode MS"/>
      <w:b/>
      <w:bCs/>
      <w:kern w:val="0"/>
      <w:sz w:val="18"/>
      <w:szCs w:val="18"/>
    </w:rPr>
  </w:style>
  <w:style w:type="paragraph" w:customStyle="1" w:styleId="122">
    <w:name w:val="列出段落2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23">
    <w:name w:val="列出段落3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871081-C4B6-40E4-991D-42BE71972D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14</Pages>
  <Words>1670</Words>
  <Characters>9519</Characters>
  <Lines>79</Lines>
  <Paragraphs>22</Paragraphs>
  <ScaleCrop>false</ScaleCrop>
  <LinksUpToDate>false</LinksUpToDate>
  <CharactersWithSpaces>11167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2016-01-07T05:48:00Z</dcterms:created>
  <dc:creator>Admin</dc:creator>
  <cp:lastModifiedBy>夏连峰</cp:lastModifiedBy>
  <cp:lastPrinted>2017-05-27T01:20:41Z</cp:lastPrinted>
  <dcterms:modified xsi:type="dcterms:W3CDTF">2017-05-27T02:35:05Z</dcterms:modified>
  <cp:revision>1705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