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sz w:val="36"/>
          <w:szCs w:val="36"/>
          <w:lang w:eastAsia="zh-CN"/>
        </w:rPr>
      </w:pPr>
      <w:r>
        <w:rPr>
          <w:rFonts w:hint="eastAsia" w:ascii="黑体" w:hAnsi="黑体" w:eastAsia="黑体"/>
          <w:b/>
          <w:sz w:val="36"/>
          <w:szCs w:val="36"/>
          <w:lang w:val="en-US" w:eastAsia="zh-CN"/>
        </w:rPr>
        <w:t>浙江工商大学</w:t>
      </w:r>
      <w:r>
        <w:rPr>
          <w:rFonts w:ascii="黑体" w:hAnsi="黑体" w:eastAsia="黑体"/>
          <w:b/>
          <w:sz w:val="36"/>
          <w:szCs w:val="36"/>
        </w:rPr>
        <w:t>金融学院</w:t>
      </w:r>
      <w:r>
        <w:rPr>
          <w:rFonts w:hint="eastAsia" w:ascii="黑体" w:hAnsi="黑体" w:eastAsia="黑体"/>
          <w:b/>
          <w:sz w:val="36"/>
          <w:szCs w:val="36"/>
          <w:lang w:eastAsia="zh-CN"/>
        </w:rPr>
        <w:t>（</w:t>
      </w:r>
      <w:r>
        <w:rPr>
          <w:rFonts w:hint="eastAsia" w:ascii="黑体" w:hAnsi="黑体" w:eastAsia="黑体"/>
          <w:b/>
          <w:sz w:val="36"/>
          <w:szCs w:val="36"/>
          <w:lang w:val="en-US" w:eastAsia="zh-CN"/>
        </w:rPr>
        <w:t>浙商资产管理学院</w:t>
      </w:r>
      <w:r>
        <w:rPr>
          <w:rFonts w:hint="eastAsia" w:ascii="黑体" w:hAnsi="黑体" w:eastAsia="黑体"/>
          <w:b/>
          <w:sz w:val="36"/>
          <w:szCs w:val="36"/>
          <w:lang w:eastAsia="zh-CN"/>
        </w:rPr>
        <w:t>）</w:t>
      </w:r>
    </w:p>
    <w:p>
      <w:pPr>
        <w:jc w:val="center"/>
        <w:rPr>
          <w:rFonts w:ascii="黑体" w:hAnsi="黑体" w:eastAsia="黑体"/>
          <w:b/>
          <w:sz w:val="36"/>
          <w:szCs w:val="36"/>
        </w:rPr>
      </w:pPr>
      <w:r>
        <w:rPr>
          <w:rFonts w:ascii="黑体" w:hAnsi="黑体" w:eastAsia="黑体"/>
          <w:b/>
          <w:sz w:val="36"/>
          <w:szCs w:val="36"/>
        </w:rPr>
        <w:t>学生干部考核</w:t>
      </w:r>
      <w:r>
        <w:rPr>
          <w:rFonts w:hint="eastAsia" w:ascii="黑体" w:hAnsi="黑体" w:eastAsia="黑体"/>
          <w:b/>
          <w:sz w:val="36"/>
          <w:szCs w:val="36"/>
        </w:rPr>
        <w:t>具体</w:t>
      </w:r>
      <w:r>
        <w:rPr>
          <w:rFonts w:ascii="黑体" w:hAnsi="黑体" w:eastAsia="黑体"/>
          <w:b/>
          <w:sz w:val="36"/>
          <w:szCs w:val="36"/>
        </w:rPr>
        <w:t>细则</w:t>
      </w:r>
    </w:p>
    <w:p>
      <w:pPr>
        <w:pStyle w:val="13"/>
        <w:spacing w:line="360" w:lineRule="auto"/>
        <w:ind w:firstLine="560"/>
        <w:jc w:val="left"/>
        <w:rPr>
          <w:rFonts w:ascii="宋体" w:hAnsi="宋体" w:eastAsia="宋体"/>
          <w:sz w:val="28"/>
          <w:szCs w:val="28"/>
        </w:rPr>
      </w:pPr>
      <w:r>
        <w:rPr>
          <w:rFonts w:hint="eastAsia" w:ascii="宋体" w:hAnsi="宋体" w:eastAsia="宋体"/>
          <w:sz w:val="28"/>
          <w:szCs w:val="28"/>
        </w:rPr>
        <w:t>为加强对金融学院</w:t>
      </w:r>
      <w:r>
        <w:rPr>
          <w:rFonts w:hint="eastAsia" w:ascii="宋体" w:hAnsi="宋体"/>
          <w:sz w:val="28"/>
          <w:szCs w:val="28"/>
          <w:lang w:eastAsia="zh-CN"/>
        </w:rPr>
        <w:t>（</w:t>
      </w:r>
      <w:r>
        <w:rPr>
          <w:rFonts w:hint="eastAsia" w:ascii="宋体" w:hAnsi="宋体"/>
          <w:sz w:val="28"/>
          <w:szCs w:val="28"/>
          <w:lang w:val="en-US" w:eastAsia="zh-CN"/>
        </w:rPr>
        <w:t>浙商资产管理学院</w:t>
      </w:r>
      <w:r>
        <w:rPr>
          <w:rFonts w:hint="eastAsia" w:ascii="宋体" w:hAnsi="宋体"/>
          <w:sz w:val="28"/>
          <w:szCs w:val="28"/>
          <w:lang w:eastAsia="zh-CN"/>
        </w:rPr>
        <w:t>）</w:t>
      </w:r>
      <w:r>
        <w:rPr>
          <w:rFonts w:hint="eastAsia" w:ascii="宋体" w:hAnsi="宋体" w:eastAsia="宋体"/>
          <w:sz w:val="28"/>
          <w:szCs w:val="28"/>
        </w:rPr>
        <w:t>学生干部的管理，提升学生工作的质量，敦促学生干部更好地为学院全体学生服务，现完善学生干部考核评级制度如下：</w:t>
      </w:r>
    </w:p>
    <w:p>
      <w:pPr>
        <w:spacing w:line="360" w:lineRule="auto"/>
        <w:jc w:val="left"/>
        <w:rPr>
          <w:rFonts w:ascii="宋体" w:hAnsi="宋体" w:eastAsia="宋体"/>
          <w:color w:val="auto"/>
          <w:sz w:val="28"/>
          <w:szCs w:val="28"/>
        </w:rPr>
      </w:pPr>
      <w:r>
        <w:rPr>
          <w:rFonts w:hint="eastAsia" w:ascii="宋体" w:hAnsi="宋体" w:eastAsia="宋体"/>
          <w:sz w:val="28"/>
          <w:szCs w:val="28"/>
        </w:rPr>
        <w:t>1、</w:t>
      </w:r>
      <w:r>
        <w:rPr>
          <w:rFonts w:hint="eastAsia"/>
          <w:sz w:val="28"/>
          <w:szCs w:val="28"/>
        </w:rPr>
        <w:t>团支书考核：团支书于学期末分别向支部成员及团委述职，由支部成员及院团委共同打分决定团支书考核成绩，其中团委</w:t>
      </w:r>
      <w:r>
        <w:rPr>
          <w:rFonts w:hint="eastAsia"/>
          <w:sz w:val="28"/>
          <w:szCs w:val="28"/>
          <w:lang w:eastAsia="zh-CN"/>
        </w:rPr>
        <w:t>将根据团支书个人总结材料以及综合表现进行评分，评分</w:t>
      </w:r>
      <w:r>
        <w:rPr>
          <w:rFonts w:hint="eastAsia"/>
          <w:sz w:val="28"/>
          <w:szCs w:val="28"/>
        </w:rPr>
        <w:t>占</w:t>
      </w:r>
      <w:r>
        <w:rPr>
          <w:rFonts w:hint="eastAsia"/>
          <w:color w:val="auto"/>
          <w:sz w:val="28"/>
          <w:szCs w:val="28"/>
        </w:rPr>
        <w:t>团支书考核成绩的10%；</w:t>
      </w:r>
      <w:bookmarkStart w:id="0" w:name="_GoBack"/>
      <w:bookmarkEnd w:id="0"/>
    </w:p>
    <w:p>
      <w:pPr>
        <w:spacing w:line="360" w:lineRule="auto"/>
        <w:jc w:val="left"/>
        <w:rPr>
          <w:rFonts w:ascii="宋体" w:hAnsi="宋体" w:eastAsia="宋体"/>
          <w:sz w:val="28"/>
          <w:szCs w:val="28"/>
        </w:rPr>
      </w:pPr>
      <w:r>
        <w:rPr>
          <w:rFonts w:hint="eastAsia" w:ascii="宋体" w:hAnsi="宋体" w:eastAsia="宋体"/>
          <w:sz w:val="28"/>
          <w:szCs w:val="28"/>
        </w:rPr>
        <w:t>2、团支委考核：</w:t>
      </w:r>
      <w:r>
        <w:rPr>
          <w:rFonts w:ascii="宋体" w:hAnsi="宋体" w:eastAsia="宋体"/>
          <w:sz w:val="28"/>
          <w:szCs w:val="28"/>
        </w:rPr>
        <w:t>团支委</w:t>
      </w:r>
      <w:r>
        <w:rPr>
          <w:rFonts w:hint="eastAsia" w:ascii="宋体" w:hAnsi="宋体" w:eastAsia="宋体"/>
          <w:sz w:val="28"/>
          <w:szCs w:val="28"/>
        </w:rPr>
        <w:t>（科技委员、组织委员、宣传委员）于学期末向支部成员述职，由支部成员打分决定团支委考核成绩，其中团支书意见占团支委考核成绩的10%；</w:t>
      </w:r>
    </w:p>
    <w:p>
      <w:pPr>
        <w:spacing w:line="360" w:lineRule="auto"/>
        <w:jc w:val="left"/>
        <w:rPr>
          <w:rFonts w:ascii="宋体" w:hAnsi="宋体" w:eastAsia="宋体"/>
          <w:sz w:val="28"/>
          <w:szCs w:val="28"/>
        </w:rPr>
      </w:pPr>
      <w:r>
        <w:rPr>
          <w:rFonts w:hint="eastAsia" w:ascii="宋体" w:hAnsi="宋体" w:eastAsia="宋体"/>
          <w:sz w:val="28"/>
          <w:szCs w:val="28"/>
        </w:rPr>
        <w:t>3、其他班委考核：其他班委（班长、副班长、学习委员、心理委员、文体委员、生活委员）于学期末向支部成员述职，由支部成员打分决定班委考核成绩；</w:t>
      </w:r>
    </w:p>
    <w:p>
      <w:pPr>
        <w:spacing w:line="360" w:lineRule="auto"/>
        <w:jc w:val="left"/>
        <w:rPr>
          <w:rFonts w:ascii="宋体" w:hAnsi="宋体" w:eastAsia="宋体"/>
          <w:color w:val="FF0000"/>
          <w:sz w:val="28"/>
          <w:szCs w:val="28"/>
        </w:rPr>
      </w:pPr>
      <w:r>
        <w:rPr>
          <w:rFonts w:hint="eastAsia" w:ascii="宋体" w:hAnsi="宋体" w:eastAsia="宋体"/>
          <w:sz w:val="28"/>
          <w:szCs w:val="28"/>
        </w:rPr>
        <w:t>4、</w:t>
      </w:r>
      <w:r>
        <w:rPr>
          <w:rFonts w:hint="eastAsia" w:ascii="宋体" w:hAnsi="宋体" w:eastAsia="宋体"/>
          <w:color w:val="FF0000"/>
          <w:sz w:val="28"/>
          <w:szCs w:val="28"/>
        </w:rPr>
        <w:t>特别说明：</w:t>
      </w:r>
      <w:r>
        <w:rPr>
          <w:rFonts w:hint="eastAsia"/>
          <w:color w:val="FF0000"/>
          <w:sz w:val="28"/>
          <w:szCs w:val="28"/>
        </w:rPr>
        <w:t>团员个人未学习 2 期及以上的，该团员的学生干部考核等第在班级和团学组织核定的基础上保持不变，但将对建议加分进行降档加分</w:t>
      </w:r>
      <w:r>
        <w:rPr>
          <w:rFonts w:hint="eastAsia"/>
          <w:color w:val="FF0000"/>
          <w:sz w:val="28"/>
          <w:szCs w:val="28"/>
          <w:lang w:eastAsia="zh-CN"/>
        </w:rPr>
        <w:t>（</w:t>
      </w:r>
      <w:r>
        <w:rPr>
          <w:rFonts w:hint="eastAsia"/>
          <w:color w:val="FF0000"/>
          <w:sz w:val="28"/>
          <w:szCs w:val="28"/>
        </w:rPr>
        <w:t>评议结果为称职及以上的最低降至称职标准</w:t>
      </w:r>
      <w:r>
        <w:rPr>
          <w:rFonts w:hint="eastAsia"/>
          <w:color w:val="FF0000"/>
          <w:sz w:val="28"/>
          <w:szCs w:val="28"/>
          <w:lang w:eastAsia="zh-CN"/>
        </w:rPr>
        <w:t>）</w:t>
      </w:r>
      <w:r>
        <w:rPr>
          <w:rFonts w:hint="eastAsia"/>
          <w:color w:val="FF0000"/>
          <w:sz w:val="28"/>
          <w:szCs w:val="28"/>
        </w:rPr>
        <w:t>处理。</w:t>
      </w:r>
    </w:p>
    <w:p>
      <w:pPr>
        <w:spacing w:line="360" w:lineRule="auto"/>
        <w:ind w:firstLine="560" w:firstLineChars="200"/>
        <w:jc w:val="left"/>
        <w:rPr>
          <w:rFonts w:ascii="宋体" w:hAnsi="宋体" w:eastAsia="宋体"/>
          <w:sz w:val="28"/>
          <w:szCs w:val="28"/>
        </w:rPr>
      </w:pPr>
      <w:r>
        <w:rPr>
          <w:rFonts w:ascii="宋体" w:hAnsi="宋体" w:eastAsia="宋体"/>
          <w:sz w:val="28"/>
          <w:szCs w:val="28"/>
        </w:rPr>
        <w:t>各支部考核结果由团支书汇总后交由团委审核</w:t>
      </w:r>
      <w:r>
        <w:rPr>
          <w:rFonts w:hint="eastAsia" w:ascii="宋体" w:hAnsi="宋体" w:eastAsia="宋体"/>
          <w:sz w:val="28"/>
          <w:szCs w:val="28"/>
        </w:rPr>
        <w:t>，</w:t>
      </w:r>
      <w:r>
        <w:rPr>
          <w:rFonts w:ascii="宋体" w:hAnsi="宋体" w:eastAsia="宋体"/>
          <w:sz w:val="28"/>
          <w:szCs w:val="28"/>
        </w:rPr>
        <w:t>团委严格根据各支部的考核分数为支部学生干部评定优秀</w:t>
      </w:r>
      <w:r>
        <w:rPr>
          <w:rFonts w:hint="eastAsia" w:ascii="宋体" w:hAnsi="宋体" w:eastAsia="宋体"/>
          <w:sz w:val="28"/>
          <w:szCs w:val="28"/>
        </w:rPr>
        <w:t>、称职以及不称职等级，并将考核结果以文件形式公示于团支书交流群。</w:t>
      </w:r>
    </w:p>
    <w:p>
      <w:pPr>
        <w:ind w:firstLine="570"/>
        <w:jc w:val="left"/>
        <w:rPr>
          <w:sz w:val="28"/>
          <w:szCs w:val="20"/>
        </w:rPr>
      </w:pPr>
      <w:r>
        <w:rPr>
          <w:rFonts w:hint="eastAsia" w:ascii="宋体" w:hAnsi="宋体" w:eastAsia="宋体"/>
          <w:sz w:val="28"/>
          <w:szCs w:val="28"/>
        </w:rPr>
        <w:t>如有疑问请联系团委组织部</w:t>
      </w:r>
      <w:r>
        <w:rPr>
          <w:rFonts w:hint="eastAsia" w:ascii="宋体" w:hAnsi="宋体"/>
          <w:sz w:val="28"/>
          <w:szCs w:val="28"/>
          <w:lang w:val="en-US" w:eastAsia="zh-CN"/>
        </w:rPr>
        <w:t>余建炜（18857718740）</w:t>
      </w:r>
      <w:r>
        <w:rPr>
          <w:rFonts w:hint="eastAsia"/>
          <w:sz w:val="28"/>
          <w:szCs w:val="20"/>
        </w:rPr>
        <w:t>。</w:t>
      </w:r>
    </w:p>
    <w:p>
      <w:pPr>
        <w:pStyle w:val="13"/>
        <w:spacing w:line="360" w:lineRule="auto"/>
        <w:jc w:val="right"/>
        <w:rPr>
          <w:rFonts w:hint="default" w:ascii="宋体" w:hAnsi="宋体" w:eastAsia="宋体"/>
          <w:sz w:val="28"/>
          <w:szCs w:val="28"/>
          <w:lang w:val="en-US"/>
        </w:rPr>
      </w:pPr>
      <w:r>
        <w:rPr>
          <w:rFonts w:hint="eastAsia" w:ascii="宋体" w:hAnsi="宋体"/>
          <w:sz w:val="28"/>
          <w:szCs w:val="28"/>
          <w:lang w:val="en-US" w:eastAsia="zh-CN"/>
        </w:rPr>
        <w:t>浙江工商大学共青团</w:t>
      </w:r>
      <w:r>
        <w:rPr>
          <w:rFonts w:hint="eastAsia" w:ascii="宋体" w:hAnsi="宋体" w:eastAsia="宋体"/>
          <w:sz w:val="28"/>
          <w:szCs w:val="28"/>
        </w:rPr>
        <w:t>金融</w:t>
      </w:r>
      <w:r>
        <w:rPr>
          <w:rFonts w:hint="eastAsia" w:ascii="宋体" w:hAnsi="宋体"/>
          <w:sz w:val="28"/>
          <w:szCs w:val="28"/>
          <w:lang w:val="en-US" w:eastAsia="zh-CN"/>
        </w:rPr>
        <w:t>学院（浙商资产管理学院）委员会</w:t>
      </w:r>
    </w:p>
    <w:p>
      <w:pPr>
        <w:pStyle w:val="13"/>
        <w:spacing w:line="360" w:lineRule="auto"/>
        <w:ind w:left="720" w:firstLine="0" w:firstLineChars="0"/>
        <w:jc w:val="right"/>
        <w:rPr>
          <w:rFonts w:ascii="宋体" w:hAnsi="宋体" w:eastAsia="宋体"/>
          <w:sz w:val="28"/>
          <w:szCs w:val="28"/>
        </w:rPr>
      </w:pPr>
      <w:r>
        <w:rPr>
          <w:rFonts w:hint="eastAsia" w:ascii="宋体" w:hAnsi="宋体" w:eastAsia="宋体"/>
          <w:sz w:val="28"/>
          <w:szCs w:val="28"/>
        </w:rPr>
        <w:t xml:space="preserve">                                      二〇二</w:t>
      </w:r>
      <w:r>
        <w:rPr>
          <w:rFonts w:hint="eastAsia" w:ascii="宋体" w:hAnsi="宋体"/>
          <w:sz w:val="28"/>
          <w:szCs w:val="28"/>
          <w:lang w:val="en-US" w:eastAsia="zh-CN"/>
        </w:rPr>
        <w:t>四</w:t>
      </w:r>
      <w:r>
        <w:rPr>
          <w:rFonts w:hint="eastAsia" w:ascii="宋体" w:hAnsi="宋体" w:eastAsia="宋体"/>
          <w:sz w:val="28"/>
          <w:szCs w:val="28"/>
        </w:rPr>
        <w:t>年</w:t>
      </w:r>
      <w:r>
        <w:rPr>
          <w:rFonts w:hint="eastAsia" w:ascii="宋体" w:hAnsi="宋体"/>
          <w:sz w:val="28"/>
          <w:szCs w:val="28"/>
          <w:lang w:val="en-US" w:eastAsia="zh-CN"/>
        </w:rPr>
        <w:t>六</w:t>
      </w:r>
      <w:r>
        <w:rPr>
          <w:rFonts w:hint="eastAsia" w:ascii="宋体" w:hAnsi="宋体" w:eastAsia="宋体"/>
          <w:sz w:val="28"/>
          <w:szCs w:val="28"/>
        </w:rPr>
        <w:t>月</w:t>
      </w:r>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第</w:t>
    </w:r>
    <w:r>
      <w:fldChar w:fldCharType="begin"/>
    </w:r>
    <w:r>
      <w:instrText xml:space="preserve"> PAGE   \* MERGEFORMAT </w:instrText>
    </w:r>
    <w:r>
      <w:fldChar w:fldCharType="separate"/>
    </w:r>
    <w:r>
      <w:rPr>
        <w:lang w:val="zh-CN"/>
      </w:rPr>
      <w:t>1</w:t>
    </w:r>
    <w:r>
      <w:rPr>
        <w:lang w:val="zh-CN"/>
      </w:rPr>
      <w:fldChar w:fldCharType="end"/>
    </w:r>
    <w:r>
      <w:rPr>
        <w:rFonts w:hint="eastAsia"/>
      </w:rPr>
      <w:t>页</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浙江工商大学</w:t>
    </w:r>
    <w:r>
      <w:drawing>
        <wp:anchor distT="0" distB="0" distL="0" distR="0" simplePos="0" relativeHeight="251659264" behindDoc="1" locked="0" layoutInCell="0" allowOverlap="1">
          <wp:simplePos x="0" y="0"/>
          <wp:positionH relativeFrom="margin">
            <wp:align>center</wp:align>
          </wp:positionH>
          <wp:positionV relativeFrom="margin">
            <wp:align>center</wp:align>
          </wp:positionV>
          <wp:extent cx="5273040" cy="4873625"/>
          <wp:effectExtent l="0" t="0" r="0" b="0"/>
          <wp:wrapNone/>
          <wp:docPr id="4099"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_x0000_t75"/>
                  <pic:cNvPicPr>
                    <a:picLocks noChangeAspect="1"/>
                  </pic:cNvPicPr>
                </pic:nvPicPr>
                <pic:blipFill>
                  <a:blip r:embed="rId1" cstate="print">
                    <a:lum bright="70000" contrast="-70000"/>
                  </a:blip>
                  <a:srcRect/>
                  <a:stretch>
                    <a:fillRect/>
                  </a:stretch>
                </pic:blipFill>
                <pic:spPr>
                  <a:xfrm>
                    <a:off x="0" y="0"/>
                    <a:ext cx="5273040" cy="4873625"/>
                  </a:xfrm>
                  <a:prstGeom prst="rect">
                    <a:avLst/>
                  </a:prstGeom>
                  <a:ln>
                    <a:noFill/>
                  </a:ln>
                </pic:spPr>
              </pic:pic>
            </a:graphicData>
          </a:graphic>
        </wp:anchor>
      </w:drawing>
    </w:r>
    <w:r>
      <w:rPr>
        <w:rFonts w:hint="eastAsia"/>
      </w:rPr>
      <w:t>金融学院团委</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anchor distT="0" distB="0" distL="0" distR="0" simplePos="0" relativeHeight="251659264" behindDoc="1" locked="0" layoutInCell="0" allowOverlap="1">
          <wp:simplePos x="0" y="0"/>
          <wp:positionH relativeFrom="margin">
            <wp:align>center</wp:align>
          </wp:positionH>
          <wp:positionV relativeFrom="margin">
            <wp:align>center</wp:align>
          </wp:positionV>
          <wp:extent cx="5273040" cy="4873625"/>
          <wp:effectExtent l="0" t="0" r="0" b="0"/>
          <wp:wrapNone/>
          <wp:docPr id="4098"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_x0000_t75"/>
                  <pic:cNvPicPr>
                    <a:picLocks noChangeAspect="1"/>
                  </pic:cNvPicPr>
                </pic:nvPicPr>
                <pic:blipFill>
                  <a:blip r:embed="rId1" cstate="print">
                    <a:lum bright="70000" contrast="-70000"/>
                  </a:blip>
                  <a:srcRect/>
                  <a:stretch>
                    <a:fillRect/>
                  </a:stretch>
                </pic:blipFill>
                <pic:spPr>
                  <a:xfrm>
                    <a:off x="0" y="0"/>
                    <a:ext cx="5273040" cy="4873625"/>
                  </a:xfrm>
                  <a:prstGeom prst="rect">
                    <a:avLst/>
                  </a:prstGeom>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anchor distT="0" distB="0" distL="0" distR="0" simplePos="0" relativeHeight="251659264" behindDoc="1" locked="0" layoutInCell="0" allowOverlap="1">
          <wp:simplePos x="0" y="0"/>
          <wp:positionH relativeFrom="margin">
            <wp:align>center</wp:align>
          </wp:positionH>
          <wp:positionV relativeFrom="margin">
            <wp:align>center</wp:align>
          </wp:positionV>
          <wp:extent cx="5273040" cy="4873625"/>
          <wp:effectExtent l="0" t="0" r="0" b="0"/>
          <wp:wrapNone/>
          <wp:docPr id="4100" name="_x0000_t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_x0000_t75"/>
                  <pic:cNvPicPr>
                    <a:picLocks noChangeAspect="1"/>
                  </pic:cNvPicPr>
                </pic:nvPicPr>
                <pic:blipFill>
                  <a:blip r:embed="rId1" cstate="print">
                    <a:lum bright="70000" contrast="-70000"/>
                  </a:blip>
                  <a:srcRect/>
                  <a:stretch>
                    <a:fillRect/>
                  </a:stretch>
                </pic:blipFill>
                <pic:spPr>
                  <a:xfrm>
                    <a:off x="0" y="0"/>
                    <a:ext cx="5273040" cy="4873625"/>
                  </a:xfrm>
                  <a:prstGeom prst="rect">
                    <a:avLst/>
                  </a:prstGeom>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M2MDRkZmRhNmJhMWVhNjA0MmFjNDExYzQ4NTg1ZjUifQ=="/>
  </w:docVars>
  <w:rsids>
    <w:rsidRoot w:val="00000000"/>
    <w:rsid w:val="142B5B9A"/>
    <w:rsid w:val="22B54EA8"/>
    <w:rsid w:val="448963C3"/>
    <w:rsid w:val="7A1C6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99" w:semiHidden="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iPriority w:val="1"/>
  </w:style>
  <w:style w:type="table" w:default="1" w:styleId="7">
    <w:name w:val="Normal Table"/>
    <w:uiPriority w:val="99"/>
    <w:tblPr>
      <w:tblCellMar>
        <w:top w:w="0" w:type="dxa"/>
        <w:left w:w="108" w:type="dxa"/>
        <w:bottom w:w="0" w:type="dxa"/>
        <w:right w:w="108" w:type="dxa"/>
      </w:tblCellMar>
    </w:tblPr>
  </w:style>
  <w:style w:type="paragraph" w:styleId="2">
    <w:name w:val="annotation text"/>
    <w:basedOn w:val="1"/>
    <w:link w:val="14"/>
    <w:uiPriority w:val="99"/>
    <w:pPr>
      <w:jc w:val="left"/>
    </w:pPr>
  </w:style>
  <w:style w:type="paragraph" w:styleId="3">
    <w:name w:val="Balloon Text"/>
    <w:basedOn w:val="1"/>
    <w:link w:val="12"/>
    <w:qFormat/>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qFormat/>
    <w:uiPriority w:val="99"/>
    <w:rPr>
      <w:b/>
      <w:bCs/>
    </w:rPr>
  </w:style>
  <w:style w:type="character" w:styleId="9">
    <w:name w:val="annotation reference"/>
    <w:basedOn w:val="8"/>
    <w:qFormat/>
    <w:uiPriority w:val="99"/>
    <w:rPr>
      <w:sz w:val="21"/>
      <w:szCs w:val="21"/>
    </w:rPr>
  </w:style>
  <w:style w:type="character" w:customStyle="1" w:styleId="10">
    <w:name w:val="页眉 字符"/>
    <w:basedOn w:val="8"/>
    <w:link w:val="5"/>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批注文字 字符"/>
    <w:basedOn w:val="8"/>
    <w:link w:val="2"/>
    <w:qFormat/>
    <w:uiPriority w:val="99"/>
    <w:rPr>
      <w:rFonts w:ascii="Times New Roman" w:hAnsi="Times New Roman" w:eastAsia="宋体" w:cs="Times New Roman"/>
      <w:kern w:val="2"/>
      <w:sz w:val="21"/>
      <w:szCs w:val="24"/>
    </w:rPr>
  </w:style>
  <w:style w:type="character" w:customStyle="1" w:styleId="15">
    <w:name w:val="批注主题 字符"/>
    <w:basedOn w:val="14"/>
    <w:link w:val="6"/>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629FA-E334-44E2-BAD8-896569480E1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531</Words>
  <Characters>545</Characters>
  <Paragraphs>19</Paragraphs>
  <TotalTime>0</TotalTime>
  <ScaleCrop>false</ScaleCrop>
  <LinksUpToDate>false</LinksUpToDate>
  <CharactersWithSpaces>585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2013-10-15T13:35:00Z</dcterms:created>
  <dc:creator>X</dc:creator>
  <cp:lastModifiedBy>小烟仔</cp:lastModifiedBy>
  <dcterms:modified xsi:type="dcterms:W3CDTF">2024-06-03T13:37:28Z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0273aa25596f48ff9a66b6c02612ca07_22</vt:lpwstr>
  </property>
</Properties>
</file>