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97" w:rsidRPr="00B45497" w:rsidRDefault="00B45497" w:rsidP="00B45497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B45497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B45497">
        <w:rPr>
          <w:rFonts w:ascii="microsoft yahei" w:eastAsia="宋体" w:hAnsi="microsoft yahei" w:cs="宋体"/>
          <w:color w:val="333333"/>
          <w:kern w:val="0"/>
          <w:szCs w:val="21"/>
        </w:rPr>
        <w:t>(1): 2019</w:t>
      </w:r>
      <w:r w:rsidRPr="00B45497">
        <w:rPr>
          <w:rFonts w:ascii="microsoft yahei" w:eastAsia="宋体" w:hAnsi="microsoft yahei" w:cs="宋体"/>
          <w:color w:val="333333"/>
          <w:kern w:val="0"/>
          <w:szCs w:val="21"/>
        </w:rPr>
        <w:t>钱江计划管理培训生</w:t>
      </w:r>
      <w:r w:rsidRPr="00B45497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B45497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B45497" w:rsidRPr="00B45497" w:rsidTr="00B45497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6-10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B45497" w:rsidRPr="00B45497" w:rsidTr="00B45497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B45497" w:rsidRPr="00B45497" w:rsidTr="00B4549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B45497" w:rsidRPr="00B45497" w:rsidTr="00B4549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B45497" w:rsidRPr="00B45497" w:rsidTr="00B4549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？职位描述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、组织、参与各类市场营销和客户服务活动，开发和积累客户数量和客户资产；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、向客户介绍公司和证券市场的基本情况；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、向客户传递由公司统一提供的金融产品宣传推介材料及有关信息；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、做好日常工作的过程管理和参加公司组织的业务培训；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、完成营业部总经理、部门负责人及团队负责人布置的各项工作任务，努力完成团队及个人的各项考核指标；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、营业部安排的其他工作。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任职要求：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35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周岁以下，大学全日制本科及以上学历，经济类、金融类相关专业，有银行或相关从业经验者可适当放宽；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、已取得证券从业资格证；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、对证券行业感兴趣，喜欢从事金融类服务和管理工作；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、亲和力佳，勤奋踏实，具有良好的沟通和销售能力者优先；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</w:t>
            </w:r>
            <w:r w:rsidRPr="00B45497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、具备良好的职业道德和专业素质，无违法违规记录。</w:t>
            </w:r>
          </w:p>
        </w:tc>
        <w:tc>
          <w:tcPr>
            <w:tcW w:w="0" w:type="auto"/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45497" w:rsidRPr="00B45497" w:rsidRDefault="00B45497" w:rsidP="00B454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15387" w:rsidRDefault="00715387">
      <w:pPr>
        <w:rPr>
          <w:rFonts w:hint="eastAsia"/>
        </w:rPr>
      </w:pPr>
    </w:p>
    <w:p w:rsidR="00B45497" w:rsidRDefault="00B45497">
      <w:pPr>
        <w:rPr>
          <w:rFonts w:hint="eastAsia"/>
        </w:rPr>
      </w:pPr>
    </w:p>
    <w:p w:rsidR="00B45497" w:rsidRPr="00B45497" w:rsidRDefault="00B45497" w:rsidP="00B45497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  <w:color w:val="666666"/>
          <w:szCs w:val="21"/>
          <w:shd w:val="clear" w:color="auto" w:fill="FFFFFF"/>
        </w:rPr>
        <w:t>公司</w:t>
      </w:r>
      <w:r>
        <w:rPr>
          <w:rFonts w:hint="eastAsia"/>
          <w:color w:val="666666"/>
          <w:szCs w:val="21"/>
          <w:shd w:val="clear" w:color="auto" w:fill="FFFFFF"/>
        </w:rPr>
        <w:t>&amp;</w:t>
      </w:r>
      <w:r>
        <w:rPr>
          <w:rFonts w:hint="eastAsia"/>
          <w:color w:val="666666"/>
          <w:szCs w:val="21"/>
          <w:shd w:val="clear" w:color="auto" w:fill="FFFFFF"/>
        </w:rPr>
        <w:t>营业部介绍</w:t>
      </w:r>
      <w:r>
        <w:rPr>
          <w:rFonts w:hint="eastAsia"/>
          <w:color w:val="666666"/>
          <w:szCs w:val="21"/>
          <w:shd w:val="clear" w:color="auto" w:fill="FFFFFF"/>
        </w:rPr>
        <w:t xml:space="preserve"> </w:t>
      </w:r>
      <w:r>
        <w:rPr>
          <w:rFonts w:hint="eastAsia"/>
          <w:color w:val="666666"/>
          <w:szCs w:val="21"/>
          <w:shd w:val="clear" w:color="auto" w:fill="FFFFFF"/>
        </w:rPr>
        <w:t>中信证券股份有限公司（简称“中信证券”，</w:t>
      </w:r>
      <w:r>
        <w:rPr>
          <w:rFonts w:hint="eastAsia"/>
          <w:color w:val="666666"/>
          <w:szCs w:val="21"/>
          <w:shd w:val="clear" w:color="auto" w:fill="FFFFFF"/>
        </w:rPr>
        <w:t>A</w:t>
      </w:r>
      <w:r>
        <w:rPr>
          <w:rFonts w:hint="eastAsia"/>
          <w:color w:val="666666"/>
          <w:szCs w:val="21"/>
          <w:shd w:val="clear" w:color="auto" w:fill="FFFFFF"/>
        </w:rPr>
        <w:t>股代码“</w:t>
      </w:r>
      <w:r>
        <w:rPr>
          <w:rFonts w:hint="eastAsia"/>
          <w:color w:val="666666"/>
          <w:szCs w:val="21"/>
          <w:shd w:val="clear" w:color="auto" w:fill="FFFFFF"/>
        </w:rPr>
        <w:t>600030</w:t>
      </w:r>
      <w:r>
        <w:rPr>
          <w:rFonts w:hint="eastAsia"/>
          <w:color w:val="666666"/>
          <w:szCs w:val="21"/>
          <w:shd w:val="clear" w:color="auto" w:fill="FFFFFF"/>
        </w:rPr>
        <w:t>”、</w:t>
      </w:r>
      <w:r>
        <w:rPr>
          <w:rFonts w:hint="eastAsia"/>
          <w:color w:val="666666"/>
          <w:szCs w:val="21"/>
          <w:shd w:val="clear" w:color="auto" w:fill="FFFFFF"/>
        </w:rPr>
        <w:t>H</w:t>
      </w:r>
      <w:r>
        <w:rPr>
          <w:rFonts w:hint="eastAsia"/>
          <w:color w:val="666666"/>
          <w:szCs w:val="21"/>
          <w:shd w:val="clear" w:color="auto" w:fill="FFFFFF"/>
        </w:rPr>
        <w:t>股代码“</w:t>
      </w:r>
      <w:r>
        <w:rPr>
          <w:rFonts w:hint="eastAsia"/>
          <w:color w:val="666666"/>
          <w:szCs w:val="21"/>
          <w:shd w:val="clear" w:color="auto" w:fill="FFFFFF"/>
        </w:rPr>
        <w:t>6030</w:t>
      </w:r>
      <w:r>
        <w:rPr>
          <w:rFonts w:hint="eastAsia"/>
          <w:color w:val="666666"/>
          <w:szCs w:val="21"/>
          <w:shd w:val="clear" w:color="auto" w:fill="FFFFFF"/>
        </w:rPr>
        <w:t>”）成立于</w:t>
      </w:r>
      <w:r>
        <w:rPr>
          <w:rFonts w:hint="eastAsia"/>
          <w:color w:val="666666"/>
          <w:szCs w:val="21"/>
          <w:shd w:val="clear" w:color="auto" w:fill="FFFFFF"/>
        </w:rPr>
        <w:t>1995</w:t>
      </w:r>
      <w:r>
        <w:rPr>
          <w:rFonts w:hint="eastAsia"/>
          <w:color w:val="666666"/>
          <w:szCs w:val="21"/>
          <w:shd w:val="clear" w:color="auto" w:fill="FFFFFF"/>
        </w:rPr>
        <w:t>年，</w:t>
      </w:r>
      <w:r>
        <w:rPr>
          <w:rFonts w:hint="eastAsia"/>
          <w:color w:val="666666"/>
          <w:szCs w:val="21"/>
          <w:shd w:val="clear" w:color="auto" w:fill="FFFFFF"/>
        </w:rPr>
        <w:t>2003</w:t>
      </w:r>
      <w:r>
        <w:rPr>
          <w:rFonts w:hint="eastAsia"/>
          <w:color w:val="666666"/>
          <w:szCs w:val="21"/>
          <w:shd w:val="clear" w:color="auto" w:fill="FFFFFF"/>
        </w:rPr>
        <w:t>年</w:t>
      </w:r>
      <w:r>
        <w:rPr>
          <w:rFonts w:hint="eastAsia"/>
          <w:color w:val="666666"/>
          <w:szCs w:val="21"/>
          <w:shd w:val="clear" w:color="auto" w:fill="FFFFFF"/>
        </w:rPr>
        <w:t>1</w:t>
      </w:r>
      <w:r>
        <w:rPr>
          <w:rFonts w:hint="eastAsia"/>
          <w:color w:val="666666"/>
          <w:szCs w:val="21"/>
          <w:shd w:val="clear" w:color="auto" w:fill="FFFFFF"/>
        </w:rPr>
        <w:t>月</w:t>
      </w:r>
      <w:r>
        <w:rPr>
          <w:rFonts w:hint="eastAsia"/>
          <w:color w:val="666666"/>
          <w:szCs w:val="21"/>
          <w:shd w:val="clear" w:color="auto" w:fill="FFFFFF"/>
        </w:rPr>
        <w:t>6</w:t>
      </w:r>
      <w:r>
        <w:rPr>
          <w:rFonts w:hint="eastAsia"/>
          <w:color w:val="666666"/>
          <w:szCs w:val="21"/>
          <w:shd w:val="clear" w:color="auto" w:fill="FFFFFF"/>
        </w:rPr>
        <w:t>日在上海证券交易所挂牌上市交易，</w:t>
      </w:r>
      <w:r>
        <w:rPr>
          <w:rFonts w:hint="eastAsia"/>
          <w:color w:val="666666"/>
          <w:szCs w:val="21"/>
          <w:shd w:val="clear" w:color="auto" w:fill="FFFFFF"/>
        </w:rPr>
        <w:t>2011</w:t>
      </w:r>
      <w:r>
        <w:rPr>
          <w:rFonts w:hint="eastAsia"/>
          <w:color w:val="666666"/>
          <w:szCs w:val="21"/>
          <w:shd w:val="clear" w:color="auto" w:fill="FFFFFF"/>
        </w:rPr>
        <w:t>年</w:t>
      </w:r>
      <w:r>
        <w:rPr>
          <w:rFonts w:hint="eastAsia"/>
          <w:color w:val="666666"/>
          <w:szCs w:val="21"/>
          <w:shd w:val="clear" w:color="auto" w:fill="FFFFFF"/>
        </w:rPr>
        <w:t>10</w:t>
      </w:r>
      <w:r>
        <w:rPr>
          <w:rFonts w:hint="eastAsia"/>
          <w:color w:val="666666"/>
          <w:szCs w:val="21"/>
          <w:shd w:val="clear" w:color="auto" w:fill="FFFFFF"/>
        </w:rPr>
        <w:t>月</w:t>
      </w:r>
      <w:r>
        <w:rPr>
          <w:rFonts w:hint="eastAsia"/>
          <w:color w:val="666666"/>
          <w:szCs w:val="21"/>
          <w:shd w:val="clear" w:color="auto" w:fill="FFFFFF"/>
        </w:rPr>
        <w:t>6</w:t>
      </w:r>
      <w:r>
        <w:rPr>
          <w:rFonts w:hint="eastAsia"/>
          <w:color w:val="666666"/>
          <w:szCs w:val="21"/>
          <w:shd w:val="clear" w:color="auto" w:fill="FFFFFF"/>
        </w:rPr>
        <w:t>日在香港联合交易所上市交易。经过二十余年的发展，已发展成为</w:t>
      </w:r>
      <w:r>
        <w:rPr>
          <w:rFonts w:hint="eastAsia"/>
          <w:color w:val="666666"/>
          <w:szCs w:val="21"/>
          <w:shd w:val="clear" w:color="auto" w:fill="FFFFFF"/>
        </w:rPr>
        <w:t>A+H</w:t>
      </w:r>
      <w:r>
        <w:rPr>
          <w:rFonts w:hint="eastAsia"/>
          <w:color w:val="666666"/>
          <w:szCs w:val="21"/>
          <w:shd w:val="clear" w:color="auto" w:fill="FFFFFF"/>
        </w:rPr>
        <w:t>综合经营的国际化投资银行。公司目前拥有</w:t>
      </w:r>
      <w:r>
        <w:rPr>
          <w:rFonts w:hint="eastAsia"/>
          <w:color w:val="666666"/>
          <w:szCs w:val="21"/>
          <w:shd w:val="clear" w:color="auto" w:fill="FFFFFF"/>
        </w:rPr>
        <w:t>30</w:t>
      </w:r>
      <w:r>
        <w:rPr>
          <w:rFonts w:hint="eastAsia"/>
          <w:color w:val="666666"/>
          <w:szCs w:val="21"/>
          <w:shd w:val="clear" w:color="auto" w:fill="FFFFFF"/>
        </w:rPr>
        <w:t>个部门及业务线，控股</w:t>
      </w:r>
      <w:r>
        <w:rPr>
          <w:rFonts w:hint="eastAsia"/>
          <w:color w:val="666666"/>
          <w:szCs w:val="21"/>
          <w:shd w:val="clear" w:color="auto" w:fill="FFFFFF"/>
        </w:rPr>
        <w:t>6</w:t>
      </w:r>
      <w:r>
        <w:rPr>
          <w:rFonts w:hint="eastAsia"/>
          <w:color w:val="666666"/>
          <w:szCs w:val="21"/>
          <w:shd w:val="clear" w:color="auto" w:fill="FFFFFF"/>
        </w:rPr>
        <w:t>家主要子公司，人员总数</w:t>
      </w:r>
      <w:r>
        <w:rPr>
          <w:rFonts w:hint="eastAsia"/>
          <w:color w:val="666666"/>
          <w:szCs w:val="21"/>
          <w:shd w:val="clear" w:color="auto" w:fill="FFFFFF"/>
        </w:rPr>
        <w:t>1.6</w:t>
      </w:r>
      <w:r>
        <w:rPr>
          <w:rFonts w:hint="eastAsia"/>
          <w:color w:val="666666"/>
          <w:szCs w:val="21"/>
          <w:shd w:val="clear" w:color="auto" w:fill="FFFFFF"/>
        </w:rPr>
        <w:t>万余人。</w:t>
      </w:r>
      <w:r>
        <w:rPr>
          <w:rFonts w:hint="eastAsia"/>
          <w:color w:val="666666"/>
          <w:szCs w:val="21"/>
          <w:shd w:val="clear" w:color="auto" w:fill="FFFFFF"/>
        </w:rPr>
        <w:t>2016</w:t>
      </w:r>
      <w:r>
        <w:rPr>
          <w:rFonts w:hint="eastAsia"/>
          <w:color w:val="666666"/>
          <w:szCs w:val="21"/>
          <w:shd w:val="clear" w:color="auto" w:fill="FFFFFF"/>
        </w:rPr>
        <w:t>年，公司实现营业收入人民币</w:t>
      </w:r>
      <w:r>
        <w:rPr>
          <w:rFonts w:hint="eastAsia"/>
          <w:color w:val="666666"/>
          <w:szCs w:val="21"/>
          <w:shd w:val="clear" w:color="auto" w:fill="FFFFFF"/>
        </w:rPr>
        <w:t>380</w:t>
      </w:r>
      <w:r>
        <w:rPr>
          <w:rFonts w:hint="eastAsia"/>
          <w:color w:val="666666"/>
          <w:szCs w:val="21"/>
          <w:shd w:val="clear" w:color="auto" w:fill="FFFFFF"/>
        </w:rPr>
        <w:t>亿元，实现净利润人民币</w:t>
      </w:r>
      <w:r>
        <w:rPr>
          <w:rFonts w:hint="eastAsia"/>
          <w:color w:val="666666"/>
          <w:szCs w:val="21"/>
          <w:shd w:val="clear" w:color="auto" w:fill="FFFFFF"/>
        </w:rPr>
        <w:t>104</w:t>
      </w:r>
      <w:r>
        <w:rPr>
          <w:rFonts w:hint="eastAsia"/>
          <w:color w:val="666666"/>
          <w:szCs w:val="21"/>
          <w:shd w:val="clear" w:color="auto" w:fill="FFFFFF"/>
        </w:rPr>
        <w:t>亿元，净资产收益率</w:t>
      </w:r>
      <w:r>
        <w:rPr>
          <w:rFonts w:hint="eastAsia"/>
          <w:color w:val="666666"/>
          <w:szCs w:val="21"/>
          <w:shd w:val="clear" w:color="auto" w:fill="FFFFFF"/>
        </w:rPr>
        <w:t>7.36%</w:t>
      </w:r>
      <w:r>
        <w:rPr>
          <w:rFonts w:hint="eastAsia"/>
          <w:color w:val="666666"/>
          <w:szCs w:val="21"/>
          <w:shd w:val="clear" w:color="auto" w:fill="FFFFFF"/>
        </w:rPr>
        <w:t>，收入和净利润继续位居国内证券公司首位。目前，全国范围内经纪业务分支机构超过</w:t>
      </w:r>
      <w:r>
        <w:rPr>
          <w:rFonts w:hint="eastAsia"/>
          <w:color w:val="666666"/>
          <w:szCs w:val="21"/>
          <w:shd w:val="clear" w:color="auto" w:fill="FFFFFF"/>
        </w:rPr>
        <w:t>300</w:t>
      </w:r>
      <w:r>
        <w:rPr>
          <w:rFonts w:hint="eastAsia"/>
          <w:color w:val="666666"/>
          <w:szCs w:val="21"/>
          <w:shd w:val="clear" w:color="auto" w:fill="FFFFFF"/>
        </w:rPr>
        <w:t>家，分支机构已覆盖全国</w:t>
      </w:r>
      <w:r>
        <w:rPr>
          <w:rFonts w:hint="eastAsia"/>
          <w:color w:val="666666"/>
          <w:szCs w:val="21"/>
          <w:shd w:val="clear" w:color="auto" w:fill="FFFFFF"/>
        </w:rPr>
        <w:t>27</w:t>
      </w:r>
      <w:r>
        <w:rPr>
          <w:rFonts w:hint="eastAsia"/>
          <w:color w:val="666666"/>
          <w:szCs w:val="21"/>
          <w:shd w:val="clear" w:color="auto" w:fill="FFFFFF"/>
        </w:rPr>
        <w:t>个省及直辖市，为全国</w:t>
      </w:r>
      <w:r>
        <w:rPr>
          <w:rFonts w:hint="eastAsia"/>
          <w:color w:val="666666"/>
          <w:szCs w:val="21"/>
          <w:shd w:val="clear" w:color="auto" w:fill="FFFFFF"/>
        </w:rPr>
        <w:t>94</w:t>
      </w:r>
      <w:r>
        <w:rPr>
          <w:rFonts w:hint="eastAsia"/>
          <w:color w:val="666666"/>
          <w:szCs w:val="21"/>
          <w:shd w:val="clear" w:color="auto" w:fill="FFFFFF"/>
        </w:rPr>
        <w:t>个城市的客户提供高品质的综合金融服务。</w:t>
      </w:r>
      <w:r>
        <w:rPr>
          <w:rFonts w:hint="eastAsia"/>
          <w:color w:val="666666"/>
          <w:szCs w:val="21"/>
          <w:shd w:val="clear" w:color="auto" w:fill="FFFFFF"/>
        </w:rPr>
        <w:t xml:space="preserve"> </w:t>
      </w:r>
      <w:r>
        <w:rPr>
          <w:rFonts w:hint="eastAsia"/>
          <w:color w:val="666666"/>
          <w:szCs w:val="21"/>
          <w:shd w:val="clear" w:color="auto" w:fill="FFFFFF"/>
        </w:rPr>
        <w:t>截至</w:t>
      </w:r>
      <w:r>
        <w:rPr>
          <w:rFonts w:hint="eastAsia"/>
          <w:color w:val="666666"/>
          <w:szCs w:val="21"/>
          <w:shd w:val="clear" w:color="auto" w:fill="FFFFFF"/>
        </w:rPr>
        <w:t>2018</w:t>
      </w:r>
      <w:r>
        <w:rPr>
          <w:rFonts w:hint="eastAsia"/>
          <w:color w:val="666666"/>
          <w:szCs w:val="21"/>
          <w:shd w:val="clear" w:color="auto" w:fill="FFFFFF"/>
        </w:rPr>
        <w:t>年</w:t>
      </w:r>
      <w:r>
        <w:rPr>
          <w:rFonts w:hint="eastAsia"/>
          <w:color w:val="666666"/>
          <w:szCs w:val="21"/>
          <w:shd w:val="clear" w:color="auto" w:fill="FFFFFF"/>
        </w:rPr>
        <w:t>3</w:t>
      </w:r>
      <w:r>
        <w:rPr>
          <w:rFonts w:hint="eastAsia"/>
          <w:color w:val="666666"/>
          <w:szCs w:val="21"/>
          <w:shd w:val="clear" w:color="auto" w:fill="FFFFFF"/>
        </w:rPr>
        <w:t>月</w:t>
      </w:r>
      <w:r>
        <w:rPr>
          <w:rFonts w:hint="eastAsia"/>
          <w:color w:val="666666"/>
          <w:szCs w:val="21"/>
          <w:shd w:val="clear" w:color="auto" w:fill="FFFFFF"/>
        </w:rPr>
        <w:t>31</w:t>
      </w:r>
      <w:r>
        <w:rPr>
          <w:rFonts w:hint="eastAsia"/>
          <w:color w:val="666666"/>
          <w:szCs w:val="21"/>
          <w:shd w:val="clear" w:color="auto" w:fill="FFFFFF"/>
        </w:rPr>
        <w:t>日，公司在浙江区域设有</w:t>
      </w:r>
      <w:r>
        <w:rPr>
          <w:rFonts w:hint="eastAsia"/>
          <w:color w:val="666666"/>
          <w:szCs w:val="21"/>
          <w:shd w:val="clear" w:color="auto" w:fill="FFFFFF"/>
        </w:rPr>
        <w:t>7</w:t>
      </w:r>
      <w:r>
        <w:rPr>
          <w:rFonts w:hint="eastAsia"/>
          <w:color w:val="666666"/>
          <w:szCs w:val="21"/>
          <w:shd w:val="clear" w:color="auto" w:fill="FFFFFF"/>
        </w:rPr>
        <w:t>家分公司（浙江分公司、宁波分公司、温州分公司、嘉兴分公司、台州分公司、绍兴分公司、金华分公司）、</w:t>
      </w:r>
      <w:r>
        <w:rPr>
          <w:rFonts w:hint="eastAsia"/>
          <w:color w:val="666666"/>
          <w:szCs w:val="21"/>
          <w:shd w:val="clear" w:color="auto" w:fill="FFFFFF"/>
        </w:rPr>
        <w:t>62</w:t>
      </w:r>
      <w:r>
        <w:rPr>
          <w:rFonts w:hint="eastAsia"/>
          <w:color w:val="666666"/>
          <w:szCs w:val="21"/>
          <w:shd w:val="clear" w:color="auto" w:fill="FFFFFF"/>
        </w:rPr>
        <w:t>家营业部，其中，浙江分公司负责在浙江区域所有分支机构的管理。截至</w:t>
      </w:r>
      <w:r>
        <w:rPr>
          <w:rFonts w:hint="eastAsia"/>
          <w:color w:val="666666"/>
          <w:szCs w:val="21"/>
          <w:shd w:val="clear" w:color="auto" w:fill="FFFFFF"/>
        </w:rPr>
        <w:t>2017</w:t>
      </w:r>
      <w:r>
        <w:rPr>
          <w:rFonts w:hint="eastAsia"/>
          <w:color w:val="666666"/>
          <w:szCs w:val="21"/>
          <w:shd w:val="clear" w:color="auto" w:fill="FFFFFF"/>
        </w:rPr>
        <w:t>年</w:t>
      </w:r>
      <w:r>
        <w:rPr>
          <w:rFonts w:hint="eastAsia"/>
          <w:color w:val="666666"/>
          <w:szCs w:val="21"/>
          <w:shd w:val="clear" w:color="auto" w:fill="FFFFFF"/>
        </w:rPr>
        <w:t>12</w:t>
      </w:r>
      <w:r>
        <w:rPr>
          <w:rFonts w:hint="eastAsia"/>
          <w:color w:val="666666"/>
          <w:szCs w:val="21"/>
          <w:shd w:val="clear" w:color="auto" w:fill="FFFFFF"/>
        </w:rPr>
        <w:t>月</w:t>
      </w:r>
      <w:r>
        <w:rPr>
          <w:rFonts w:hint="eastAsia"/>
          <w:color w:val="666666"/>
          <w:szCs w:val="21"/>
          <w:shd w:val="clear" w:color="auto" w:fill="FFFFFF"/>
        </w:rPr>
        <w:t>31</w:t>
      </w:r>
      <w:r>
        <w:rPr>
          <w:rFonts w:hint="eastAsia"/>
          <w:color w:val="666666"/>
          <w:szCs w:val="21"/>
          <w:shd w:val="clear" w:color="auto" w:fill="FFFFFF"/>
        </w:rPr>
        <w:t>日，浙江分公司净收入</w:t>
      </w:r>
      <w:r>
        <w:rPr>
          <w:rFonts w:hint="eastAsia"/>
          <w:color w:val="666666"/>
          <w:szCs w:val="21"/>
          <w:shd w:val="clear" w:color="auto" w:fill="FFFFFF"/>
        </w:rPr>
        <w:t>21.37</w:t>
      </w:r>
      <w:r>
        <w:rPr>
          <w:rFonts w:hint="eastAsia"/>
          <w:color w:val="666666"/>
          <w:szCs w:val="21"/>
          <w:shd w:val="clear" w:color="auto" w:fill="FFFFFF"/>
        </w:rPr>
        <w:t>亿元，净利润</w:t>
      </w:r>
      <w:r>
        <w:rPr>
          <w:rFonts w:hint="eastAsia"/>
          <w:color w:val="666666"/>
          <w:szCs w:val="21"/>
          <w:shd w:val="clear" w:color="auto" w:fill="FFFFFF"/>
        </w:rPr>
        <w:t>9.11</w:t>
      </w:r>
      <w:r>
        <w:rPr>
          <w:rFonts w:hint="eastAsia"/>
          <w:color w:val="666666"/>
          <w:szCs w:val="21"/>
          <w:shd w:val="clear" w:color="auto" w:fill="FFFFFF"/>
        </w:rPr>
        <w:t>亿元，股票基金交易量</w:t>
      </w:r>
      <w:r>
        <w:rPr>
          <w:rFonts w:hint="eastAsia"/>
          <w:color w:val="666666"/>
          <w:szCs w:val="21"/>
          <w:shd w:val="clear" w:color="auto" w:fill="FFFFFF"/>
        </w:rPr>
        <w:t>3.87</w:t>
      </w:r>
      <w:proofErr w:type="gramStart"/>
      <w:r>
        <w:rPr>
          <w:rFonts w:hint="eastAsia"/>
          <w:color w:val="666666"/>
          <w:szCs w:val="21"/>
          <w:shd w:val="clear" w:color="auto" w:fill="FFFFFF"/>
        </w:rPr>
        <w:t>万亿</w:t>
      </w:r>
      <w:proofErr w:type="gramEnd"/>
      <w:r>
        <w:rPr>
          <w:rFonts w:hint="eastAsia"/>
          <w:color w:val="666666"/>
          <w:szCs w:val="21"/>
          <w:shd w:val="clear" w:color="auto" w:fill="FFFFFF"/>
        </w:rPr>
        <w:t>元，客户资产规模</w:t>
      </w:r>
      <w:r>
        <w:rPr>
          <w:rFonts w:hint="eastAsia"/>
          <w:color w:val="666666"/>
          <w:szCs w:val="21"/>
          <w:shd w:val="clear" w:color="auto" w:fill="FFFFFF"/>
        </w:rPr>
        <w:t>7547.11</w:t>
      </w:r>
      <w:r>
        <w:rPr>
          <w:rFonts w:hint="eastAsia"/>
          <w:color w:val="666666"/>
          <w:szCs w:val="21"/>
          <w:shd w:val="clear" w:color="auto" w:fill="FFFFFF"/>
        </w:rPr>
        <w:t>亿元，客户数</w:t>
      </w:r>
      <w:r>
        <w:rPr>
          <w:rFonts w:hint="eastAsia"/>
          <w:color w:val="666666"/>
          <w:szCs w:val="21"/>
          <w:shd w:val="clear" w:color="auto" w:fill="FFFFFF"/>
        </w:rPr>
        <w:t>243</w:t>
      </w:r>
      <w:r>
        <w:rPr>
          <w:rFonts w:hint="eastAsia"/>
          <w:color w:val="666666"/>
          <w:szCs w:val="21"/>
          <w:shd w:val="clear" w:color="auto" w:fill="FFFFFF"/>
        </w:rPr>
        <w:t>万。公司在区域市场（浙江省）交易量市场份额连续</w:t>
      </w:r>
      <w:r>
        <w:rPr>
          <w:rFonts w:hint="eastAsia"/>
          <w:color w:val="666666"/>
          <w:szCs w:val="21"/>
          <w:shd w:val="clear" w:color="auto" w:fill="FFFFFF"/>
        </w:rPr>
        <w:t>11</w:t>
      </w:r>
      <w:r>
        <w:rPr>
          <w:rFonts w:hint="eastAsia"/>
          <w:color w:val="666666"/>
          <w:szCs w:val="21"/>
          <w:shd w:val="clear" w:color="auto" w:fill="FFFFFF"/>
        </w:rPr>
        <w:t>年排名首位。</w:t>
      </w:r>
      <w:r>
        <w:rPr>
          <w:rFonts w:hint="eastAsia"/>
          <w:color w:val="666666"/>
          <w:szCs w:val="21"/>
          <w:shd w:val="clear" w:color="auto" w:fill="FFFFFF"/>
        </w:rPr>
        <w:t>2017</w:t>
      </w:r>
      <w:r>
        <w:rPr>
          <w:rFonts w:hint="eastAsia"/>
          <w:color w:val="666666"/>
          <w:szCs w:val="21"/>
          <w:shd w:val="clear" w:color="auto" w:fill="FFFFFF"/>
        </w:rPr>
        <w:t>年，公司在中国证监会证券公司</w:t>
      </w:r>
      <w:bookmarkStart w:id="0" w:name="_GoBack"/>
      <w:r>
        <w:rPr>
          <w:rFonts w:hint="eastAsia"/>
          <w:color w:val="666666"/>
          <w:szCs w:val="21"/>
          <w:shd w:val="clear" w:color="auto" w:fill="FFFFFF"/>
        </w:rPr>
        <w:t>分类</w:t>
      </w:r>
      <w:bookmarkEnd w:id="0"/>
      <w:r>
        <w:rPr>
          <w:rFonts w:hint="eastAsia"/>
          <w:color w:val="666666"/>
          <w:szCs w:val="21"/>
          <w:shd w:val="clear" w:color="auto" w:fill="FFFFFF"/>
        </w:rPr>
        <w:t>评价中被评为</w:t>
      </w:r>
      <w:r>
        <w:rPr>
          <w:rFonts w:hint="eastAsia"/>
          <w:color w:val="666666"/>
          <w:szCs w:val="21"/>
          <w:shd w:val="clear" w:color="auto" w:fill="FFFFFF"/>
        </w:rPr>
        <w:t>A</w:t>
      </w:r>
      <w:r>
        <w:rPr>
          <w:rFonts w:hint="eastAsia"/>
          <w:color w:val="666666"/>
          <w:szCs w:val="21"/>
          <w:shd w:val="clear" w:color="auto" w:fill="FFFFFF"/>
        </w:rPr>
        <w:t>类</w:t>
      </w:r>
      <w:r>
        <w:rPr>
          <w:rFonts w:hint="eastAsia"/>
          <w:color w:val="666666"/>
          <w:szCs w:val="21"/>
          <w:shd w:val="clear" w:color="auto" w:fill="FFFFFF"/>
        </w:rPr>
        <w:t>AA</w:t>
      </w:r>
      <w:r>
        <w:rPr>
          <w:rFonts w:hint="eastAsia"/>
          <w:color w:val="666666"/>
          <w:szCs w:val="21"/>
          <w:shd w:val="clear" w:color="auto" w:fill="FFFFFF"/>
        </w:rPr>
        <w:t>级。</w:t>
      </w:r>
      <w:r>
        <w:rPr>
          <w:rFonts w:hint="eastAsia"/>
          <w:color w:val="666666"/>
          <w:szCs w:val="21"/>
          <w:shd w:val="clear" w:color="auto" w:fill="FFFFFF"/>
        </w:rPr>
        <w:t xml:space="preserve"> </w:t>
      </w:r>
      <w:r>
        <w:rPr>
          <w:rFonts w:hint="eastAsia"/>
          <w:color w:val="666666"/>
          <w:szCs w:val="21"/>
          <w:shd w:val="clear" w:color="auto" w:fill="FFFFFF"/>
        </w:rPr>
        <w:t>中信证券股份有限公司浙江分公司经营范围为：证券经纪；证券投资咨询；证券投资基金代销；融资融券；代销金融产品；与证券交易、证券投资活动有关的财务顾问；为期货公司提供中间介绍业务；证券承销与保荐（仅限项目承揽、项目信息传递与推荐、客户关系维护等辅助</w:t>
      </w:r>
      <w:r>
        <w:rPr>
          <w:rFonts w:hint="eastAsia"/>
          <w:color w:val="666666"/>
          <w:szCs w:val="21"/>
          <w:shd w:val="clear" w:color="auto" w:fill="FFFFFF"/>
        </w:rPr>
        <w:lastRenderedPageBreak/>
        <w:t>工作）；证券资产管理（仅限项目承揽、项目信息传递与推荐、客户关系维护等辅助工作）。</w:t>
      </w:r>
      <w:r>
        <w:rPr>
          <w:rFonts w:hint="eastAsia"/>
          <w:color w:val="666666"/>
          <w:szCs w:val="21"/>
          <w:shd w:val="clear" w:color="auto" w:fill="FFFFFF"/>
        </w:rPr>
        <w:t xml:space="preserve"> </w:t>
      </w:r>
      <w:r>
        <w:rPr>
          <w:rFonts w:hint="eastAsia"/>
          <w:color w:val="666666"/>
          <w:szCs w:val="21"/>
          <w:shd w:val="clear" w:color="auto" w:fill="FFFFFF"/>
        </w:rPr>
        <w:t>中信证券股份有限公司浙江分公司根植区域市场，长期以来坚持客户至上，真诚服务的理念，以专业服务不断为客户创造价值。公司致力于为客户提供专业高质综合金融服务，以本土最佳的中信证券研究所团队、投资银行团队等为依托，与客户共成长、共成就，并建立了包括营业网点、呼叫中心、综合服务平台、手机证券等立体化的服务网络。</w:t>
      </w:r>
      <w:r>
        <w:rPr>
          <w:rFonts w:hint="eastAsia"/>
          <w:color w:val="666666"/>
          <w:szCs w:val="21"/>
          <w:shd w:val="clear" w:color="auto" w:fill="FFFFFF"/>
        </w:rPr>
        <w:t xml:space="preserve"> </w:t>
      </w:r>
      <w:r>
        <w:rPr>
          <w:rFonts w:hint="eastAsia"/>
          <w:color w:val="666666"/>
          <w:szCs w:val="21"/>
          <w:shd w:val="clear" w:color="auto" w:fill="FFFFFF"/>
        </w:rPr>
        <w:t>中信证券股份有限公司杭州四季路证券营业部始建于</w:t>
      </w:r>
      <w:r>
        <w:rPr>
          <w:rFonts w:hint="eastAsia"/>
          <w:color w:val="666666"/>
          <w:szCs w:val="21"/>
          <w:shd w:val="clear" w:color="auto" w:fill="FFFFFF"/>
        </w:rPr>
        <w:t>1993</w:t>
      </w:r>
      <w:r>
        <w:rPr>
          <w:rFonts w:hint="eastAsia"/>
          <w:color w:val="666666"/>
          <w:szCs w:val="21"/>
          <w:shd w:val="clear" w:color="auto" w:fill="FFFFFF"/>
        </w:rPr>
        <w:t>年，是杭城较早成立的证券营业部之一，</w:t>
      </w:r>
      <w:r>
        <w:rPr>
          <w:rFonts w:hint="eastAsia"/>
          <w:color w:val="666666"/>
          <w:szCs w:val="21"/>
          <w:shd w:val="clear" w:color="auto" w:fill="FFFFFF"/>
        </w:rPr>
        <w:t>2000</w:t>
      </w:r>
      <w:r>
        <w:rPr>
          <w:rFonts w:hint="eastAsia"/>
          <w:color w:val="666666"/>
          <w:szCs w:val="21"/>
          <w:shd w:val="clear" w:color="auto" w:fill="FFFFFF"/>
        </w:rPr>
        <w:t>年曾获得“杭州市优秀营业部”的称号。营业部地处钱江新城金融核心商圈（四季路</w:t>
      </w:r>
      <w:r>
        <w:rPr>
          <w:rFonts w:hint="eastAsia"/>
          <w:color w:val="666666"/>
          <w:szCs w:val="21"/>
          <w:shd w:val="clear" w:color="auto" w:fill="FFFFFF"/>
        </w:rPr>
        <w:t>76-6</w:t>
      </w:r>
      <w:r>
        <w:rPr>
          <w:rFonts w:hint="eastAsia"/>
          <w:color w:val="666666"/>
          <w:szCs w:val="21"/>
          <w:shd w:val="clear" w:color="auto" w:fill="FFFFFF"/>
        </w:rPr>
        <w:t>号</w:t>
      </w:r>
      <w:proofErr w:type="gramStart"/>
      <w:r>
        <w:rPr>
          <w:rFonts w:hint="eastAsia"/>
          <w:color w:val="666666"/>
          <w:szCs w:val="21"/>
          <w:shd w:val="clear" w:color="auto" w:fill="FFFFFF"/>
        </w:rPr>
        <w:t>迪凯</w:t>
      </w:r>
      <w:proofErr w:type="gramEnd"/>
      <w:r>
        <w:rPr>
          <w:rFonts w:hint="eastAsia"/>
          <w:color w:val="666666"/>
          <w:szCs w:val="21"/>
          <w:shd w:val="clear" w:color="auto" w:fill="FFFFFF"/>
        </w:rPr>
        <w:t>国际中心四楼），比邻杭州市政府行政办公中心，地铁、公交均可直达，交通便捷。目前营业部经营沪深两市的</w:t>
      </w:r>
      <w:r>
        <w:rPr>
          <w:rFonts w:hint="eastAsia"/>
          <w:color w:val="666666"/>
          <w:szCs w:val="21"/>
          <w:shd w:val="clear" w:color="auto" w:fill="FFFFFF"/>
        </w:rPr>
        <w:t>A</w:t>
      </w:r>
      <w:r>
        <w:rPr>
          <w:rFonts w:hint="eastAsia"/>
          <w:color w:val="666666"/>
          <w:szCs w:val="21"/>
          <w:shd w:val="clear" w:color="auto" w:fill="FFFFFF"/>
        </w:rPr>
        <w:t>股、</w:t>
      </w:r>
      <w:r>
        <w:rPr>
          <w:rFonts w:hint="eastAsia"/>
          <w:color w:val="666666"/>
          <w:szCs w:val="21"/>
          <w:shd w:val="clear" w:color="auto" w:fill="FFFFFF"/>
        </w:rPr>
        <w:t>B</w:t>
      </w:r>
      <w:r>
        <w:rPr>
          <w:rFonts w:hint="eastAsia"/>
          <w:color w:val="666666"/>
          <w:szCs w:val="21"/>
          <w:shd w:val="clear" w:color="auto" w:fill="FFFFFF"/>
        </w:rPr>
        <w:t>股、基金、国债、国债回购等业务，提供自助委托、电话委托、柜台下单委托、手机、网上交易等多种委托方式，丰富的交易手段和先进的技术系统构建起全方位的服务平台。营业部自开业以来始终秉持“稳健、规范、诚信”的经营理念和“客户至上、服务为本”的服务理念，以良好的信誉取信于投资者。依托中信证券强大的研究实力和丰富多样的交易手段，凭借营业部经营多年打造的具备丰富实操经验和</w:t>
      </w:r>
      <w:proofErr w:type="gramStart"/>
      <w:r>
        <w:rPr>
          <w:rFonts w:hint="eastAsia"/>
          <w:color w:val="666666"/>
          <w:szCs w:val="21"/>
          <w:shd w:val="clear" w:color="auto" w:fill="FFFFFF"/>
        </w:rPr>
        <w:t>扎实业务</w:t>
      </w:r>
      <w:proofErr w:type="gramEnd"/>
      <w:r>
        <w:rPr>
          <w:rFonts w:hint="eastAsia"/>
          <w:color w:val="666666"/>
          <w:szCs w:val="21"/>
          <w:shd w:val="clear" w:color="auto" w:fill="FFFFFF"/>
        </w:rPr>
        <w:t>基础的专业团队，竭诚为广大投资者提供专业、优质和高效的金融理财服务。</w:t>
      </w:r>
    </w:p>
    <w:sectPr w:rsidR="00B45497" w:rsidRPr="00B4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F0"/>
    <w:rsid w:val="00715387"/>
    <w:rsid w:val="007A41F0"/>
    <w:rsid w:val="00B4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5497"/>
  </w:style>
  <w:style w:type="character" w:styleId="a3">
    <w:name w:val="Hyperlink"/>
    <w:basedOn w:val="a0"/>
    <w:uiPriority w:val="99"/>
    <w:semiHidden/>
    <w:unhideWhenUsed/>
    <w:rsid w:val="00B454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5497"/>
  </w:style>
  <w:style w:type="character" w:styleId="a3">
    <w:name w:val="Hyperlink"/>
    <w:basedOn w:val="a0"/>
    <w:uiPriority w:val="99"/>
    <w:semiHidden/>
    <w:unhideWhenUsed/>
    <w:rsid w:val="00B45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>china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2019-04-09T01:14:00Z</dcterms:created>
  <dcterms:modified xsi:type="dcterms:W3CDTF">2019-04-09T01:15:00Z</dcterms:modified>
</cp:coreProperties>
</file>